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637">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bookmarkStart w:id="0" w:name="_GoBack"/>
      <w:bookmarkEnd w:id="0"/>
    </w:p>
    <w:p w14:paraId="1F392F4E">
      <w:pPr>
        <w:jc w:val="center"/>
        <w:rPr>
          <w:rFonts w:hint="eastAsia" w:ascii="黑体" w:hAnsi="黑体" w:eastAsia="黑体" w:cs="黑体"/>
          <w:highlight w:val="none"/>
        </w:rPr>
      </w:pPr>
      <w:r>
        <w:rPr>
          <w:rFonts w:hint="eastAsia" w:ascii="宋体" w:hAnsi="宋体" w:eastAsia="宋体" w:cs="宋体"/>
          <w:sz w:val="44"/>
          <w:szCs w:val="44"/>
          <w:highlight w:val="none"/>
          <w:lang w:val="en-US" w:eastAsia="zh-CN"/>
        </w:rPr>
        <w:t>柜式七氟丙烷灭火器检测充装项目（老年大学、国库支付中心、科普教育基地）</w:t>
      </w:r>
      <w:r>
        <w:rPr>
          <w:rFonts w:hint="eastAsia" w:ascii="宋体" w:hAnsi="宋体" w:eastAsia="宋体" w:cs="宋体"/>
          <w:sz w:val="44"/>
          <w:szCs w:val="44"/>
          <w:highlight w:val="none"/>
        </w:rPr>
        <w:t>询价文件</w:t>
      </w:r>
    </w:p>
    <w:p w14:paraId="08D6EFB2">
      <w:pPr>
        <w:rPr>
          <w:rFonts w:ascii="微软简隶书" w:eastAsia="微软简隶书"/>
          <w:highlight w:val="none"/>
        </w:rPr>
      </w:pPr>
    </w:p>
    <w:p w14:paraId="037FCC86">
      <w:pPr>
        <w:rPr>
          <w:rFonts w:ascii="微软简隶书" w:eastAsia="微软简隶书"/>
          <w:highlight w:val="none"/>
        </w:rPr>
      </w:pPr>
    </w:p>
    <w:p w14:paraId="7FDAD423">
      <w:pPr>
        <w:rPr>
          <w:rFonts w:ascii="微软简隶书" w:eastAsia="微软简隶书"/>
          <w:highlight w:val="none"/>
        </w:rPr>
      </w:pPr>
    </w:p>
    <w:p w14:paraId="17C0CD74">
      <w:pPr>
        <w:pStyle w:val="65"/>
        <w:ind w:firstLine="340"/>
        <w:rPr>
          <w:highlight w:val="none"/>
        </w:rPr>
      </w:pPr>
    </w:p>
    <w:p w14:paraId="0C37AF39">
      <w:pPr>
        <w:pStyle w:val="68"/>
        <w:rPr>
          <w:highlight w:val="none"/>
        </w:rPr>
      </w:pPr>
    </w:p>
    <w:p w14:paraId="6315A97B">
      <w:pPr>
        <w:pStyle w:val="8"/>
        <w:rPr>
          <w:highlight w:val="none"/>
        </w:rPr>
      </w:pPr>
    </w:p>
    <w:p w14:paraId="1838E06A">
      <w:pPr>
        <w:rPr>
          <w:highlight w:val="none"/>
        </w:rPr>
      </w:pPr>
    </w:p>
    <w:p w14:paraId="0CA574BD">
      <w:pPr>
        <w:pStyle w:val="71"/>
        <w:rPr>
          <w:highlight w:val="none"/>
        </w:rPr>
      </w:pPr>
    </w:p>
    <w:p w14:paraId="450D70DF">
      <w:pPr>
        <w:pStyle w:val="71"/>
        <w:rPr>
          <w:highlight w:val="none"/>
        </w:rPr>
      </w:pPr>
    </w:p>
    <w:p w14:paraId="09BCE7BB">
      <w:pPr>
        <w:pStyle w:val="71"/>
        <w:rPr>
          <w:highlight w:val="none"/>
        </w:rPr>
      </w:pPr>
    </w:p>
    <w:p w14:paraId="6614F95C">
      <w:pPr>
        <w:pStyle w:val="71"/>
        <w:rPr>
          <w:highlight w:val="none"/>
        </w:rPr>
      </w:pPr>
    </w:p>
    <w:p w14:paraId="27843A83">
      <w:pPr>
        <w:rPr>
          <w:rFonts w:hint="eastAsia" w:ascii="华文楷体" w:hAnsi="华文楷体" w:eastAsia="华文楷体" w:cs="华文楷体"/>
          <w:bCs/>
          <w:sz w:val="36"/>
          <w:szCs w:val="36"/>
          <w:highlight w:val="none"/>
        </w:rPr>
      </w:pPr>
    </w:p>
    <w:p w14:paraId="3A990CF8">
      <w:pPr>
        <w:ind w:firstLine="1084" w:firstLineChars="300"/>
        <w:rPr>
          <w:rFonts w:hint="eastAsia" w:ascii="华文楷体" w:hAnsi="华文楷体" w:eastAsia="华文楷体" w:cs="华文楷体"/>
          <w:b/>
          <w:bCs w:val="0"/>
          <w:sz w:val="36"/>
          <w:szCs w:val="36"/>
          <w:highlight w:val="none"/>
        </w:rPr>
      </w:pPr>
    </w:p>
    <w:p w14:paraId="3362AD6E">
      <w:pPr>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采购单位：许昌市市投物业管理有限公司</w:t>
      </w:r>
    </w:p>
    <w:p w14:paraId="6B2500BF">
      <w:pPr>
        <w:rPr>
          <w:rFonts w:hint="eastAsia" w:ascii="宋体" w:hAnsi="宋体" w:eastAsia="宋体" w:cs="宋体"/>
          <w:b/>
          <w:bCs w:val="0"/>
          <w:sz w:val="36"/>
          <w:szCs w:val="36"/>
          <w:highlight w:val="none"/>
        </w:rPr>
      </w:pPr>
    </w:p>
    <w:p w14:paraId="0B2330F1">
      <w:pPr>
        <w:ind w:left="0" w:leftChars="0" w:firstLine="0" w:firstLineChars="0"/>
        <w:jc w:val="center"/>
        <w:rPr>
          <w:rFonts w:hint="eastAsia" w:ascii="宋体" w:hAnsi="宋体" w:eastAsia="宋体" w:cs="宋体"/>
          <w:b/>
          <w:bCs w:val="0"/>
          <w:sz w:val="36"/>
          <w:szCs w:val="36"/>
          <w:highlight w:val="none"/>
        </w:rPr>
      </w:pPr>
      <w:r>
        <w:rPr>
          <w:rFonts w:hint="eastAsia" w:ascii="宋体" w:hAnsi="宋体" w:cs="宋体"/>
          <w:b/>
          <w:bCs w:val="0"/>
          <w:sz w:val="36"/>
          <w:szCs w:val="36"/>
          <w:highlight w:val="none"/>
          <w:lang w:eastAsia="zh-CN"/>
        </w:rPr>
        <w:t>二〇二五</w:t>
      </w:r>
      <w:r>
        <w:rPr>
          <w:rFonts w:hint="eastAsia" w:ascii="宋体" w:hAnsi="宋体" w:eastAsia="宋体" w:cs="宋体"/>
          <w:b/>
          <w:bCs w:val="0"/>
          <w:sz w:val="36"/>
          <w:szCs w:val="36"/>
          <w:highlight w:val="none"/>
        </w:rPr>
        <w:t>年</w:t>
      </w:r>
      <w:r>
        <w:rPr>
          <w:rFonts w:hint="eastAsia" w:ascii="宋体" w:hAnsi="宋体" w:cs="宋体"/>
          <w:b/>
          <w:bCs w:val="0"/>
          <w:sz w:val="36"/>
          <w:szCs w:val="36"/>
          <w:highlight w:val="none"/>
          <w:lang w:val="en-US" w:eastAsia="zh-CN"/>
        </w:rPr>
        <w:t>十二</w:t>
      </w:r>
      <w:r>
        <w:rPr>
          <w:rFonts w:hint="eastAsia" w:ascii="宋体" w:hAnsi="宋体" w:eastAsia="宋体" w:cs="宋体"/>
          <w:b/>
          <w:bCs w:val="0"/>
          <w:sz w:val="36"/>
          <w:szCs w:val="36"/>
          <w:highlight w:val="none"/>
        </w:rPr>
        <w:t>月</w:t>
      </w:r>
    </w:p>
    <w:p w14:paraId="3AA93974">
      <w:pPr>
        <w:tabs>
          <w:tab w:val="left" w:pos="1110"/>
          <w:tab w:val="center" w:pos="4156"/>
        </w:tabs>
        <w:jc w:val="center"/>
        <w:rPr>
          <w:rFonts w:hint="eastAsia" w:ascii="方正小标宋简体" w:eastAsia="方正小标宋简体" w:cs="华文中宋"/>
          <w:b/>
          <w:bCs w:val="0"/>
          <w:kern w:val="0"/>
          <w:sz w:val="44"/>
          <w:szCs w:val="44"/>
          <w:highlight w:val="none"/>
        </w:rPr>
        <w:sectPr>
          <w:headerReference r:id="rId3" w:type="default"/>
          <w:footerReference r:id="rId4" w:type="default"/>
          <w:pgSz w:w="11906" w:h="16838"/>
          <w:pgMar w:top="1134" w:right="1134" w:bottom="1701" w:left="1134" w:header="851" w:footer="992" w:gutter="0"/>
          <w:pgNumType w:fmt="decimal" w:start="1"/>
          <w:cols w:space="720" w:num="1"/>
          <w:docGrid w:type="lines" w:linePitch="312" w:charSpace="0"/>
        </w:sectPr>
      </w:pPr>
    </w:p>
    <w:p w14:paraId="2695CA6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eastAsia="宋体"/>
          <w:b/>
          <w:bCs/>
          <w:sz w:val="44"/>
          <w:szCs w:val="44"/>
          <w:highlight w:val="none"/>
          <w:lang w:eastAsia="zh-CN"/>
        </w:rPr>
      </w:pPr>
      <w:r>
        <w:rPr>
          <w:rFonts w:hint="eastAsia"/>
          <w:b/>
          <w:bCs/>
          <w:sz w:val="44"/>
          <w:szCs w:val="44"/>
          <w:highlight w:val="none"/>
          <w:lang w:eastAsia="zh-CN"/>
        </w:rPr>
        <w:t>许昌市</w:t>
      </w:r>
      <w:r>
        <w:rPr>
          <w:rFonts w:hint="eastAsia"/>
          <w:b/>
          <w:bCs/>
          <w:sz w:val="44"/>
          <w:szCs w:val="44"/>
          <w:highlight w:val="none"/>
          <w:lang w:val="en-US" w:eastAsia="zh-CN"/>
        </w:rPr>
        <w:t>市</w:t>
      </w:r>
      <w:r>
        <w:rPr>
          <w:rFonts w:hint="eastAsia"/>
          <w:b/>
          <w:bCs/>
          <w:sz w:val="44"/>
          <w:szCs w:val="44"/>
          <w:highlight w:val="none"/>
          <w:lang w:eastAsia="zh-CN"/>
        </w:rPr>
        <w:t>投</w:t>
      </w:r>
      <w:r>
        <w:rPr>
          <w:rFonts w:hint="eastAsia"/>
          <w:b/>
          <w:bCs/>
          <w:sz w:val="44"/>
          <w:szCs w:val="44"/>
          <w:highlight w:val="none"/>
          <w:lang w:val="en-US" w:eastAsia="zh-CN"/>
        </w:rPr>
        <w:t>物业管理</w:t>
      </w:r>
      <w:r>
        <w:rPr>
          <w:rFonts w:hint="eastAsia"/>
          <w:b/>
          <w:bCs/>
          <w:sz w:val="44"/>
          <w:szCs w:val="44"/>
          <w:highlight w:val="none"/>
          <w:lang w:eastAsia="zh-CN"/>
        </w:rPr>
        <w:t>有限公司</w:t>
      </w:r>
    </w:p>
    <w:p w14:paraId="1F15355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lang w:val="en-US" w:eastAsia="zh-CN"/>
        </w:rPr>
      </w:pPr>
      <w:r>
        <w:rPr>
          <w:rFonts w:hint="eastAsia"/>
          <w:b/>
          <w:bCs/>
          <w:sz w:val="44"/>
          <w:szCs w:val="44"/>
          <w:highlight w:val="none"/>
          <w:lang w:val="en-US" w:eastAsia="zh-CN"/>
        </w:rPr>
        <w:t>“柜式七氟丙烷灭火器检测充装项目（老年大学、国库支付中心、科普教育基地）”</w:t>
      </w:r>
    </w:p>
    <w:p w14:paraId="6EF8D5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rPr>
      </w:pPr>
      <w:r>
        <w:rPr>
          <w:rFonts w:hint="eastAsia"/>
          <w:b/>
          <w:bCs/>
          <w:sz w:val="44"/>
          <w:szCs w:val="44"/>
          <w:highlight w:val="none"/>
        </w:rPr>
        <w:t>询价文件</w:t>
      </w:r>
    </w:p>
    <w:p w14:paraId="32937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柜式七氟丙烷灭火器检测充装项目（老年大学、国库支付中心、科普教育基地）</w:t>
      </w:r>
      <w:r>
        <w:rPr>
          <w:rFonts w:hint="eastAsia" w:ascii="仿宋_GB2312" w:hAnsi="仿宋_GB2312" w:eastAsia="仿宋_GB2312" w:cs="仿宋_GB2312"/>
          <w:sz w:val="32"/>
          <w:szCs w:val="32"/>
          <w:highlight w:val="none"/>
        </w:rPr>
        <w:t>”的潜在投标人应在《许昌市投资集团有限公司》网站公示公告栏获取询价文件，并于202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分(北京时间)前提交响应文件。</w:t>
      </w:r>
    </w:p>
    <w:p w14:paraId="381F42C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27EA49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柜式七氟丙烷灭火器检测充装项目（老年大学、国库支付中心、科普教育基地）</w:t>
      </w:r>
    </w:p>
    <w:p w14:paraId="6C66CB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本项目位于许昌市。</w:t>
      </w:r>
    </w:p>
    <w:p w14:paraId="50BDAC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（三）服务期限：自签订合同之日起10个工作日内完成灭火器检测充装并出具检测报告。</w:t>
      </w:r>
    </w:p>
    <w:p w14:paraId="2EB2B2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（四）服务需求及要求：对</w:t>
      </w:r>
      <w:r>
        <w:rPr>
          <w:rFonts w:hint="eastAsia" w:ascii="仿宋_GB2312" w:hAnsi="仿宋_GB2312" w:eastAsia="仿宋_GB2312" w:cs="仿宋_GB2312"/>
          <w:b w:val="0"/>
          <w:bCs w:val="0"/>
          <w:sz w:val="32"/>
          <w:szCs w:val="32"/>
          <w:highlight w:val="none"/>
        </w:rPr>
        <w:t>科普教育基地、国库支付中心综合楼及老年大学</w:t>
      </w:r>
      <w:r>
        <w:rPr>
          <w:rFonts w:hint="eastAsia" w:ascii="仿宋_GB2312" w:hAnsi="仿宋_GB2312" w:eastAsia="仿宋_GB2312" w:cs="仿宋_GB2312"/>
          <w:b w:val="0"/>
          <w:bCs w:val="0"/>
          <w:sz w:val="32"/>
          <w:szCs w:val="32"/>
          <w:highlight w:val="none"/>
          <w:lang w:val="en-US" w:eastAsia="zh-CN"/>
        </w:rPr>
        <w:t>三处资产</w:t>
      </w:r>
      <w:r>
        <w:rPr>
          <w:rFonts w:hint="eastAsia" w:ascii="仿宋_GB2312" w:hAnsi="仿宋_GB2312" w:eastAsia="仿宋_GB2312" w:cs="仿宋_GB2312"/>
          <w:b w:val="0"/>
          <w:bCs w:val="0"/>
          <w:sz w:val="32"/>
          <w:szCs w:val="32"/>
          <w:highlight w:val="none"/>
        </w:rPr>
        <w:t>的</w:t>
      </w:r>
      <w:r>
        <w:rPr>
          <w:rFonts w:hint="eastAsia" w:ascii="仿宋_GB2312" w:hAnsi="仿宋_GB2312" w:eastAsia="仿宋_GB2312" w:cs="仿宋_GB2312"/>
          <w:b w:val="0"/>
          <w:bCs w:val="0"/>
          <w:sz w:val="32"/>
          <w:szCs w:val="32"/>
          <w:highlight w:val="none"/>
          <w:lang w:val="en-US" w:eastAsia="zh-CN"/>
        </w:rPr>
        <w:t>19具</w:t>
      </w:r>
      <w:r>
        <w:rPr>
          <w:rFonts w:hint="eastAsia" w:ascii="仿宋_GB2312" w:hAnsi="仿宋_GB2312" w:eastAsia="仿宋_GB2312" w:cs="仿宋_GB2312"/>
          <w:sz w:val="32"/>
          <w:szCs w:val="32"/>
          <w:highlight w:val="none"/>
          <w:lang w:val="en-US" w:eastAsia="zh-CN"/>
        </w:rPr>
        <w:t>柜式七氟丙烷罐体进行换药加压检测并出具检测证书，详见项目需求。</w:t>
      </w:r>
    </w:p>
    <w:p w14:paraId="7743D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p>
    <w:p w14:paraId="51A6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许昌市市投</w:t>
      </w:r>
      <w:r>
        <w:rPr>
          <w:rFonts w:hint="eastAsia" w:ascii="仿宋_GB2312" w:hAnsi="仿宋_GB2312" w:eastAsia="仿宋_GB2312" w:cs="仿宋_GB2312"/>
          <w:sz w:val="32"/>
          <w:szCs w:val="32"/>
          <w:highlight w:val="none"/>
          <w:lang w:val="en-US" w:eastAsia="zh-CN"/>
        </w:rPr>
        <w:t>物业管理</w:t>
      </w:r>
      <w:r>
        <w:rPr>
          <w:rFonts w:hint="eastAsia" w:ascii="仿宋_GB2312" w:hAnsi="仿宋_GB2312" w:eastAsia="仿宋_GB2312" w:cs="仿宋_GB2312"/>
          <w:sz w:val="32"/>
          <w:szCs w:val="32"/>
          <w:highlight w:val="none"/>
          <w:lang w:eastAsia="zh-CN"/>
        </w:rPr>
        <w:t>有限公司</w:t>
      </w:r>
    </w:p>
    <w:p w14:paraId="4EBBD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156000</w:t>
      </w:r>
      <w:r>
        <w:rPr>
          <w:rFonts w:hint="eastAsia" w:ascii="仿宋_GB2312" w:hAnsi="仿宋_GB2312" w:eastAsia="仿宋_GB2312" w:cs="仿宋_GB2312"/>
          <w:sz w:val="32"/>
          <w:szCs w:val="32"/>
          <w:highlight w:val="none"/>
        </w:rPr>
        <w:t>元(含税价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需开具增值税专用发票</w:t>
      </w:r>
      <w:r>
        <w:rPr>
          <w:rFonts w:hint="eastAsia" w:ascii="仿宋_GB2312" w:hAnsi="仿宋_GB2312" w:eastAsia="仿宋_GB2312" w:cs="仿宋_GB2312"/>
          <w:sz w:val="32"/>
          <w:szCs w:val="32"/>
          <w:highlight w:val="none"/>
        </w:rPr>
        <w:t>)，超出此报价的为无效投标</w:t>
      </w:r>
      <w:r>
        <w:rPr>
          <w:rFonts w:hint="eastAsia" w:ascii="仿宋_GB2312" w:hAnsi="仿宋_GB2312" w:eastAsia="仿宋_GB2312" w:cs="仿宋_GB2312"/>
          <w:sz w:val="32"/>
          <w:szCs w:val="32"/>
          <w:highlight w:val="none"/>
          <w:lang w:eastAsia="zh-CN"/>
        </w:rPr>
        <w:t>。</w:t>
      </w:r>
    </w:p>
    <w:p w14:paraId="6F6B1C9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r>
        <w:rPr>
          <w:rFonts w:hint="eastAsia" w:ascii="仿宋" w:hAnsi="仿宋" w:eastAsia="仿宋" w:cs="仿宋"/>
          <w:b/>
          <w:bCs/>
          <w:sz w:val="32"/>
          <w:szCs w:val="32"/>
          <w:highlight w:val="none"/>
          <w:u w:val="none"/>
          <w:lang w:val="en-US" w:eastAsia="zh-CN"/>
        </w:rPr>
        <w:t>（提供承诺函或证明材料）</w:t>
      </w:r>
      <w:r>
        <w:rPr>
          <w:rFonts w:hint="eastAsia" w:ascii="仿宋" w:hAnsi="仿宋" w:eastAsia="仿宋" w:cs="仿宋"/>
          <w:sz w:val="32"/>
          <w:szCs w:val="32"/>
          <w:highlight w:val="none"/>
          <w:u w:val="none"/>
          <w:lang w:val="en-US" w:eastAsia="zh-CN"/>
        </w:rPr>
        <w:t>。</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（二）供应商必须具有独立承担民事责任的能力，并持有有效的营业执照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color w:val="auto"/>
          <w:kern w:val="0"/>
          <w:sz w:val="32"/>
          <w:szCs w:val="32"/>
          <w:highlight w:val="none"/>
          <w:lang w:val="en-US" w:eastAsia="zh-CN"/>
        </w:rPr>
        <w:t>（提供营业执照复印件并加盖公章）</w:t>
      </w:r>
    </w:p>
    <w:p w14:paraId="774A0DA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三）供应商须具备应急管理部7号令《社会消防技术服务管理规定》规定的消防技术服务机构从业条件，并在“社会消防技术服务信息系统”（https://shhxf.119.gov.cn/）备案（服务类型包含消防设施维护保养检测）。</w:t>
      </w:r>
      <w:r>
        <w:rPr>
          <w:rFonts w:hint="eastAsia" w:ascii="仿宋" w:hAnsi="仿宋" w:eastAsia="仿宋" w:cs="仿宋"/>
          <w:b/>
          <w:bCs/>
          <w:sz w:val="32"/>
          <w:szCs w:val="32"/>
          <w:highlight w:val="none"/>
          <w:u w:val="none"/>
          <w:lang w:val="en-US" w:eastAsia="zh-CN"/>
        </w:rPr>
        <w:t>（提供网站备案截图）</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（四）单位负责人为同一人或存在控股、管理关系的不同单位，不得参加同一标段或者未划分标段的同一招标项目的投标。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p>
    <w:p w14:paraId="2311BC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（五）供应商必须遵守国家相关法律、行政法规的规定，具有良好的信誉和诚实的商业道德。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（提供网页截图或打印页，缺一不可）</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（六）供应商应承诺：若中标，按采购人要求提供增值税发票，中选后不分包与转包。</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u w:val="none"/>
          <w:lang w:val="en-US" w:eastAsia="zh-CN"/>
        </w:rPr>
        <w:t>（七）本项目不接受联合体投标，实行资格后审。</w:t>
      </w:r>
    </w:p>
    <w:p w14:paraId="0055BE0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地点：许昌市</w:t>
      </w:r>
      <w:r>
        <w:rPr>
          <w:rFonts w:hint="eastAsia" w:ascii="仿宋_GB2312" w:hAnsi="仿宋_GB2312" w:eastAsia="仿宋_GB2312" w:cs="仿宋_GB2312"/>
          <w:sz w:val="32"/>
          <w:szCs w:val="32"/>
          <w:highlight w:val="none"/>
          <w:lang w:val="en-US" w:eastAsia="zh-CN"/>
        </w:rPr>
        <w:t>老年大学16楼会议室</w:t>
      </w:r>
      <w:r>
        <w:rPr>
          <w:rFonts w:hint="eastAsia" w:ascii="仿宋_GB2312" w:hAnsi="仿宋_GB2312" w:eastAsia="仿宋_GB2312" w:cs="仿宋_GB2312"/>
          <w:sz w:val="32"/>
          <w:szCs w:val="32"/>
          <w:highlight w:val="none"/>
        </w:rPr>
        <w:t>(本项目采用不见面开标，投标人无须到现场)。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评标期间，投标人保持响应文件提供的联系方式畅通，评标小组随时可能对响应文件内容质询，投标人应及时进行答复(包括但不限于电子文档、电子邮件等)，因供应商响应不及时影响评标的，后果自负。</w:t>
      </w:r>
    </w:p>
    <w:p w14:paraId="2E5B455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0FCA8C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响应文件应按照询价文件（响应文件格式）的内容要求、编排顺序和格式要求，响应文件要装订并密封，密封处加盖公司公章，一式3份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未按要求打印包封的响应文件，采购人有权拒收其文件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不按照附件要求提交资料或</w:t>
      </w:r>
      <w:r>
        <w:rPr>
          <w:rFonts w:hint="eastAsia" w:ascii="仿宋_GB2312" w:hAnsi="仿宋_GB2312" w:eastAsia="仿宋_GB2312" w:cs="仿宋_GB2312"/>
          <w:sz w:val="32"/>
          <w:szCs w:val="32"/>
          <w:highlight w:val="none"/>
          <w:lang w:val="en-US" w:eastAsia="zh-CN"/>
        </w:rPr>
        <w:t>资料</w:t>
      </w:r>
      <w:r>
        <w:rPr>
          <w:rFonts w:hint="eastAsia" w:ascii="仿宋_GB2312" w:hAnsi="仿宋_GB2312" w:eastAsia="仿宋_GB2312" w:cs="仿宋_GB2312"/>
          <w:sz w:val="32"/>
          <w:szCs w:val="32"/>
          <w:highlight w:val="none"/>
        </w:rPr>
        <w:t>缺少的为无效投标，投标人提供的响应文件等相关资料概不退还。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资料提交方式及截止日期：现场递交或邮寄均可，截止时间：202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color w:val="auto"/>
          <w:sz w:val="32"/>
          <w:szCs w:val="32"/>
          <w:highlight w:val="none"/>
          <w:lang w:val="en-US" w:eastAsia="zh-CN"/>
        </w:rPr>
        <w:t>8:30</w:t>
      </w:r>
      <w:r>
        <w:rPr>
          <w:rFonts w:hint="eastAsia" w:ascii="仿宋_GB2312" w:hAnsi="仿宋_GB2312" w:eastAsia="仿宋_GB2312" w:cs="仿宋_GB2312"/>
          <w:sz w:val="32"/>
          <w:szCs w:val="32"/>
          <w:highlight w:val="none"/>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老年大学1613</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4B86E4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 xml:space="preserve">先生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0374-</w:t>
      </w:r>
      <w:r>
        <w:rPr>
          <w:rFonts w:hint="eastAsia" w:ascii="仿宋_GB2312" w:hAnsi="仿宋_GB2312" w:eastAsia="仿宋_GB2312" w:cs="仿宋_GB2312"/>
          <w:color w:val="auto"/>
          <w:sz w:val="32"/>
          <w:szCs w:val="32"/>
          <w:highlight w:val="none"/>
        </w:rPr>
        <w:t>2677251</w:t>
      </w:r>
    </w:p>
    <w:p w14:paraId="4F7307F4">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eastAsia="zh-CN"/>
        </w:rPr>
      </w:pPr>
    </w:p>
    <w:p w14:paraId="06376531">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01AE7BBF">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eastAsia"/>
          <w:sz w:val="28"/>
          <w:szCs w:val="28"/>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p>
    <w:p w14:paraId="67690DD2">
      <w:pPr>
        <w:autoSpaceDE w:val="0"/>
        <w:autoSpaceDN w:val="0"/>
        <w:adjustRightInd w:val="0"/>
        <w:spacing w:line="700" w:lineRule="exact"/>
        <w:jc w:val="left"/>
        <w:rPr>
          <w:rFonts w:cs="宋体" w:asciiTheme="majorEastAsia" w:hAnsiTheme="majorEastAsia" w:eastAsiaTheme="majorEastAsia"/>
          <w:b/>
          <w:kern w:val="0"/>
          <w:sz w:val="28"/>
          <w:szCs w:val="28"/>
          <w:highlight w:val="none"/>
        </w:rPr>
      </w:pPr>
      <w:r>
        <w:rPr>
          <w:rFonts w:hint="eastAsia"/>
          <w:sz w:val="28"/>
          <w:szCs w:val="28"/>
          <w:highlight w:val="none"/>
        </w:rPr>
        <w:t>附件：响应文件格式</w:t>
      </w:r>
    </w:p>
    <w:p w14:paraId="0B743B0D">
      <w:pPr>
        <w:rPr>
          <w:rFonts w:ascii="宋体" w:hAnsi="宋体" w:cs="微软雅黑"/>
          <w:sz w:val="28"/>
          <w:szCs w:val="28"/>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2"/>
        <w:ind w:firstLine="0"/>
        <w:rPr>
          <w:rFonts w:hAnsi="宋体" w:cs="微软雅黑"/>
          <w:szCs w:val="28"/>
          <w:highlight w:val="none"/>
        </w:rPr>
      </w:pPr>
    </w:p>
    <w:p w14:paraId="39B597A9">
      <w:pPr>
        <w:pStyle w:val="12"/>
        <w:ind w:firstLine="340"/>
        <w:rPr>
          <w:rFonts w:hAnsi="宋体" w:cs="微软雅黑"/>
          <w:szCs w:val="28"/>
          <w:highlight w:val="none"/>
        </w:rPr>
      </w:pPr>
    </w:p>
    <w:p w14:paraId="50B07741">
      <w:pPr>
        <w:pStyle w:val="13"/>
        <w:rPr>
          <w:rFonts w:hAnsi="宋体" w:cs="微软雅黑"/>
          <w:szCs w:val="28"/>
          <w:highlight w:val="none"/>
        </w:rPr>
      </w:pPr>
    </w:p>
    <w:p w14:paraId="21F3CAF5">
      <w:pPr>
        <w:pStyle w:val="13"/>
        <w:rPr>
          <w:rFonts w:hAnsi="宋体" w:cs="微软雅黑"/>
          <w:szCs w:val="28"/>
          <w:highlight w:val="none"/>
        </w:rPr>
      </w:pPr>
    </w:p>
    <w:p w14:paraId="497D2D06">
      <w:pPr>
        <w:pStyle w:val="13"/>
        <w:rPr>
          <w:rFonts w:hAnsi="宋体" w:cs="微软雅黑"/>
          <w:szCs w:val="28"/>
          <w:highlight w:val="none"/>
        </w:rPr>
      </w:pPr>
    </w:p>
    <w:p w14:paraId="0C3FB4EC">
      <w:pPr>
        <w:pStyle w:val="13"/>
        <w:rPr>
          <w:rFonts w:hAnsi="宋体" w:cs="微软雅黑"/>
          <w:szCs w:val="28"/>
          <w:highlight w:val="none"/>
        </w:rPr>
      </w:pPr>
    </w:p>
    <w:p w14:paraId="25B3CA35">
      <w:pPr>
        <w:pStyle w:val="13"/>
        <w:ind w:left="420" w:firstLine="420"/>
        <w:rPr>
          <w:rFonts w:hint="default" w:hAnsi="宋体" w:cs="微软雅黑"/>
          <w:szCs w:val="28"/>
          <w:highlight w:val="none"/>
          <w:lang w:eastAsia="zh-CN"/>
        </w:rPr>
      </w:pPr>
    </w:p>
    <w:p w14:paraId="67C5C147">
      <w:pPr>
        <w:pStyle w:val="13"/>
        <w:ind w:left="0" w:leftChars="0" w:firstLine="0" w:firstLineChars="0"/>
        <w:rPr>
          <w:rFonts w:hint="default" w:hAnsi="宋体" w:cs="微软雅黑"/>
          <w:szCs w:val="28"/>
          <w:highlight w:val="none"/>
          <w:lang w:eastAsia="zh-CN"/>
        </w:rPr>
      </w:pPr>
    </w:p>
    <w:p w14:paraId="0275136C">
      <w:pPr>
        <w:pStyle w:val="13"/>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37B65F16">
      <w:pPr>
        <w:jc w:val="left"/>
        <w:rPr>
          <w:rFonts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3F16E7DB">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72D51E53">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2E0E1D99">
      <w:pPr>
        <w:pStyle w:val="7"/>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4"/>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default" w:eastAsia="宋体" w:asciiTheme="minorEastAsia" w:hAnsiTheme="minorEastAsia"/>
                <w:sz w:val="24"/>
                <w:highlight w:val="none"/>
                <w:lang w:val="en-US" w:eastAsia="zh-CN"/>
              </w:rPr>
              <w:t>柜式七氟丙烷灭火器检测充装项目（老年大学、国库支付中心、科普教育基地</w:t>
            </w:r>
            <w:r>
              <w:rPr>
                <w:rFonts w:hint="eastAsia" w:asciiTheme="minorEastAsia" w:hAnsiTheme="minorEastAsia"/>
                <w:sz w:val="24"/>
                <w:highlight w:val="none"/>
                <w:lang w:val="en-US" w:eastAsia="zh-CN"/>
              </w:rPr>
              <w:t>）</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大写：　　</w:t>
            </w:r>
          </w:p>
          <w:p w14:paraId="47253FD0">
            <w:pPr>
              <w:autoSpaceDE w:val="0"/>
              <w:autoSpaceDN w:val="0"/>
              <w:adjustRightInd w:val="0"/>
              <w:spacing w:line="480" w:lineRule="exact"/>
              <w:rPr>
                <w:rFonts w:hint="default" w:eastAsia="宋体" w:cs="宋体" w:asciiTheme="minorEastAsia" w:hAnsiTheme="minorEastAsia"/>
                <w:sz w:val="24"/>
                <w:highlight w:val="none"/>
                <w:lang w:val="en-US" w:eastAsia="zh-CN"/>
              </w:rPr>
            </w:pPr>
            <w:r>
              <w:rPr>
                <w:rFonts w:hint="eastAsia" w:cs="宋体" w:asciiTheme="minorEastAsia" w:hAnsiTheme="minorEastAsia"/>
                <w:sz w:val="24"/>
                <w:szCs w:val="24"/>
                <w:highlight w:val="none"/>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default" w:eastAsia="宋体" w:cs="宋体" w:asciiTheme="minorEastAsia" w:hAnsiTheme="minorEastAsia"/>
                <w:sz w:val="24"/>
                <w:szCs w:val="24"/>
                <w:highlight w:val="none"/>
                <w:lang w:val="en-US" w:eastAsia="zh-CN"/>
              </w:rPr>
              <w:t>自签订合同之日起10个工作日内完成灭火器检测充装并出具检测报告。</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hint="default" w:cs="宋体" w:asciiTheme="minorEastAsia" w:hAnsiTheme="minorEastAsia"/>
                <w:sz w:val="24"/>
                <w:highlight w:val="none"/>
                <w:lang w:val="en-US"/>
              </w:rPr>
            </w:pPr>
            <w:r>
              <w:rPr>
                <w:rFonts w:hint="eastAsia" w:cs="宋体" w:asciiTheme="minorEastAsia" w:hAnsiTheme="minorEastAsia"/>
                <w:sz w:val="24"/>
                <w:highlight w:val="none"/>
                <w:lang w:val="zh-CN" w:eastAsia="zh-CN"/>
              </w:rPr>
              <w:t>此报价包</w:t>
            </w:r>
            <w:r>
              <w:rPr>
                <w:rFonts w:hint="eastAsia" w:cs="宋体" w:asciiTheme="minorEastAsia" w:hAnsiTheme="minorEastAsia"/>
                <w:sz w:val="24"/>
                <w:highlight w:val="none"/>
                <w:lang w:val="en-US" w:eastAsia="zh-CN"/>
              </w:rPr>
              <w:t>含投标人提供的服务人员</w:t>
            </w:r>
            <w:r>
              <w:rPr>
                <w:rFonts w:hint="eastAsia" w:cs="宋体" w:asciiTheme="minorEastAsia" w:hAnsiTheme="minorEastAsia"/>
                <w:sz w:val="24"/>
                <w:highlight w:val="none"/>
                <w:lang w:val="zh-CN" w:eastAsia="zh-CN"/>
              </w:rPr>
              <w:t>工资、保险等</w:t>
            </w:r>
            <w:r>
              <w:rPr>
                <w:rFonts w:hint="eastAsia" w:cs="宋体" w:asciiTheme="minorEastAsia" w:hAnsiTheme="minorEastAsia"/>
                <w:sz w:val="24"/>
                <w:highlight w:val="none"/>
                <w:lang w:val="en-US" w:eastAsia="zh-CN"/>
              </w:rPr>
              <w:t>相关费用</w:t>
            </w:r>
            <w:r>
              <w:rPr>
                <w:rFonts w:hint="eastAsia" w:cs="宋体" w:asciiTheme="minorEastAsia" w:hAnsiTheme="minorEastAsia"/>
                <w:sz w:val="24"/>
                <w:highlight w:val="none"/>
                <w:lang w:val="zh-CN" w:eastAsia="zh-CN"/>
              </w:rPr>
              <w:t>；</w:t>
            </w:r>
            <w:r>
              <w:rPr>
                <w:rFonts w:hint="eastAsia" w:cs="宋体" w:asciiTheme="minorEastAsia" w:hAnsiTheme="minorEastAsia"/>
                <w:sz w:val="24"/>
                <w:highlight w:val="none"/>
                <w:lang w:val="en-US" w:eastAsia="zh-CN"/>
              </w:rPr>
              <w:t>需求</w:t>
            </w:r>
            <w:r>
              <w:rPr>
                <w:rFonts w:hint="eastAsia" w:cs="宋体" w:asciiTheme="minorEastAsia" w:hAnsiTheme="minorEastAsia"/>
                <w:sz w:val="24"/>
                <w:highlight w:val="none"/>
                <w:lang w:val="zh-CN" w:eastAsia="zh-CN"/>
              </w:rPr>
              <w:t>内容主要包括钢瓶安全检测、药剂更换、瓶组密封处理、容器阀与瓶头阀检测、相关辅件检查与更换、</w:t>
            </w:r>
            <w:r>
              <w:rPr>
                <w:rFonts w:hint="eastAsia" w:cs="宋体" w:asciiTheme="minorEastAsia" w:hAnsiTheme="minorEastAsia"/>
                <w:sz w:val="24"/>
                <w:highlight w:val="none"/>
                <w:lang w:val="en-US" w:eastAsia="zh-CN"/>
              </w:rPr>
              <w:t>检测报告出具</w:t>
            </w:r>
            <w:r>
              <w:rPr>
                <w:rFonts w:hint="eastAsia" w:cs="宋体" w:asciiTheme="minorEastAsia" w:hAnsiTheme="minorEastAsia"/>
                <w:sz w:val="24"/>
                <w:highlight w:val="none"/>
                <w:lang w:val="zh-CN" w:eastAsia="zh-CN"/>
              </w:rPr>
              <w:t>及</w:t>
            </w:r>
            <w:r>
              <w:rPr>
                <w:rFonts w:hint="eastAsia" w:cs="宋体" w:asciiTheme="minorEastAsia" w:hAnsiTheme="minorEastAsia"/>
                <w:sz w:val="24"/>
                <w:highlight w:val="none"/>
                <w:lang w:val="en-US" w:eastAsia="zh-CN"/>
              </w:rPr>
              <w:t>灭火器</w:t>
            </w:r>
            <w:r>
              <w:rPr>
                <w:rFonts w:hint="eastAsia" w:cs="宋体" w:asciiTheme="minorEastAsia" w:hAnsiTheme="minorEastAsia"/>
                <w:sz w:val="24"/>
                <w:highlight w:val="none"/>
                <w:lang w:val="zh-CN" w:eastAsia="zh-CN"/>
              </w:rPr>
              <w:t>往返运输</w:t>
            </w:r>
            <w:r>
              <w:rPr>
                <w:rFonts w:hint="eastAsia" w:cs="宋体" w:asciiTheme="minorEastAsia" w:hAnsiTheme="minorEastAsia"/>
                <w:sz w:val="24"/>
                <w:highlight w:val="none"/>
                <w:lang w:val="en-US" w:eastAsia="zh-CN"/>
              </w:rPr>
              <w:t>等</w:t>
            </w:r>
          </w:p>
        </w:tc>
      </w:tr>
    </w:tbl>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25C0331F">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日期：  年  月   日</w:t>
      </w:r>
    </w:p>
    <w:p w14:paraId="4F8C60E4">
      <w:pPr>
        <w:pStyle w:val="30"/>
        <w:rPr>
          <w:highlight w:val="none"/>
        </w:rPr>
      </w:pPr>
    </w:p>
    <w:p w14:paraId="6A03FC38">
      <w:pPr>
        <w:rPr>
          <w:highlight w:val="none"/>
        </w:rPr>
      </w:pPr>
    </w:p>
    <w:p w14:paraId="53853330">
      <w:pPr>
        <w:pStyle w:val="12"/>
        <w:rPr>
          <w:highlight w:val="none"/>
        </w:rPr>
      </w:pPr>
    </w:p>
    <w:p w14:paraId="04A3BDC2">
      <w:pPr>
        <w:rPr>
          <w:highlight w:val="none"/>
        </w:rPr>
      </w:pPr>
    </w:p>
    <w:p w14:paraId="1E1FCE47">
      <w:pPr>
        <w:pStyle w:val="30"/>
        <w:rPr>
          <w:highlight w:val="none"/>
        </w:rPr>
      </w:pPr>
    </w:p>
    <w:p w14:paraId="056E84E4">
      <w:pPr>
        <w:pStyle w:val="30"/>
        <w:rPr>
          <w:highlight w:val="none"/>
        </w:rPr>
      </w:pPr>
    </w:p>
    <w:p w14:paraId="213DB6E1">
      <w:pPr>
        <w:pStyle w:val="30"/>
        <w:rPr>
          <w:highlight w:val="none"/>
        </w:rPr>
      </w:pPr>
    </w:p>
    <w:p w14:paraId="03E27803">
      <w:pPr>
        <w:pStyle w:val="30"/>
        <w:rPr>
          <w:highlight w:val="none"/>
        </w:rPr>
      </w:pPr>
    </w:p>
    <w:p w14:paraId="09AB6744">
      <w:pPr>
        <w:pStyle w:val="30"/>
        <w:rPr>
          <w:highlight w:val="none"/>
        </w:rPr>
      </w:pPr>
    </w:p>
    <w:p w14:paraId="0D540FB5">
      <w:pPr>
        <w:pStyle w:val="30"/>
        <w:rPr>
          <w:highlight w:val="none"/>
        </w:rPr>
      </w:pPr>
    </w:p>
    <w:p w14:paraId="7B962BB4">
      <w:pPr>
        <w:pStyle w:val="30"/>
        <w:rPr>
          <w:highlight w:val="none"/>
        </w:rPr>
      </w:pPr>
    </w:p>
    <w:p w14:paraId="1043E1DC">
      <w:pPr>
        <w:pStyle w:val="30"/>
        <w:rPr>
          <w:highlight w:val="none"/>
        </w:rPr>
      </w:pPr>
    </w:p>
    <w:p w14:paraId="1560D47C">
      <w:pPr>
        <w:pStyle w:val="30"/>
        <w:rPr>
          <w:highlight w:val="none"/>
        </w:rPr>
      </w:pPr>
    </w:p>
    <w:p w14:paraId="76FB17B6">
      <w:pPr>
        <w:pStyle w:val="30"/>
        <w:rPr>
          <w:highlight w:val="none"/>
        </w:rPr>
      </w:pPr>
    </w:p>
    <w:p w14:paraId="699D9DBC">
      <w:pPr>
        <w:pStyle w:val="30"/>
        <w:rPr>
          <w:highlight w:val="none"/>
        </w:rPr>
      </w:pPr>
    </w:p>
    <w:p w14:paraId="027FE837">
      <w:pPr>
        <w:pStyle w:val="30"/>
        <w:rPr>
          <w:highlight w:val="none"/>
        </w:rPr>
      </w:pPr>
    </w:p>
    <w:p w14:paraId="22F0FB59">
      <w:pPr>
        <w:pStyle w:val="30"/>
        <w:rPr>
          <w:highlight w:val="none"/>
        </w:rPr>
      </w:pPr>
    </w:p>
    <w:p w14:paraId="24CF6376">
      <w:pPr>
        <w:pStyle w:val="30"/>
        <w:rPr>
          <w:highlight w:val="none"/>
        </w:rPr>
      </w:pPr>
    </w:p>
    <w:p w14:paraId="39099B65">
      <w:pPr>
        <w:spacing w:line="480" w:lineRule="exact"/>
        <w:rPr>
          <w:rFonts w:hint="eastAsia" w:asciiTheme="majorEastAsia" w:hAnsiTheme="majorEastAsia" w:eastAsiaTheme="majorEastAsia"/>
          <w:b/>
          <w:bCs/>
          <w:sz w:val="28"/>
          <w:szCs w:val="28"/>
          <w:highlight w:val="none"/>
        </w:rPr>
      </w:pPr>
    </w:p>
    <w:p w14:paraId="2A331CD6">
      <w:pPr>
        <w:numPr>
          <w:ilvl w:val="0"/>
          <w:numId w:val="2"/>
        </w:numPr>
        <w:spacing w:line="480" w:lineRule="exact"/>
        <w:jc w:val="center"/>
        <w:rPr>
          <w:rFonts w:hint="eastAsia" w:cs="Times New Roman" w:asciiTheme="majorEastAsia" w:hAnsiTheme="majorEastAsia" w:eastAsiaTheme="majorEastAsia"/>
          <w:b/>
          <w:bCs/>
          <w:kern w:val="2"/>
          <w:sz w:val="28"/>
          <w:szCs w:val="28"/>
          <w:highlight w:val="none"/>
          <w:lang w:val="en-US" w:eastAsia="zh-CN" w:bidi="ar-SA"/>
        </w:rPr>
      </w:pPr>
      <w:r>
        <w:rPr>
          <w:rFonts w:hint="eastAsia" w:cs="Times New Roman" w:asciiTheme="majorEastAsia" w:hAnsiTheme="majorEastAsia" w:eastAsiaTheme="majorEastAsia"/>
          <w:b/>
          <w:bCs/>
          <w:kern w:val="2"/>
          <w:sz w:val="28"/>
          <w:szCs w:val="28"/>
          <w:highlight w:val="none"/>
          <w:lang w:val="en-US" w:eastAsia="zh-CN" w:bidi="ar-SA"/>
        </w:rPr>
        <w:t>柜式七氟丙烷灭火器检测充装项目</w:t>
      </w:r>
    </w:p>
    <w:p w14:paraId="664C2A56">
      <w:pPr>
        <w:numPr>
          <w:ilvl w:val="0"/>
          <w:numId w:val="0"/>
        </w:numPr>
        <w:spacing w:line="480" w:lineRule="exact"/>
        <w:jc w:val="center"/>
        <w:rPr>
          <w:rFonts w:hint="default" w:asciiTheme="majorEastAsia" w:hAnsiTheme="majorEastAsia" w:eastAsiaTheme="majorEastAsia"/>
          <w:b/>
          <w:bCs/>
          <w:sz w:val="28"/>
          <w:szCs w:val="28"/>
          <w:highlight w:val="none"/>
          <w:lang w:val="en-US" w:eastAsia="zh-CN"/>
        </w:rPr>
      </w:pPr>
      <w:r>
        <w:rPr>
          <w:rFonts w:hint="eastAsia" w:cs="Times New Roman" w:asciiTheme="majorEastAsia" w:hAnsiTheme="majorEastAsia" w:eastAsiaTheme="majorEastAsia"/>
          <w:b/>
          <w:bCs/>
          <w:kern w:val="2"/>
          <w:sz w:val="28"/>
          <w:szCs w:val="28"/>
          <w:highlight w:val="none"/>
          <w:lang w:val="en-US" w:eastAsia="zh-CN" w:bidi="ar-SA"/>
        </w:rPr>
        <w:t>（老年大学、国库支付中心、科普教育基地）</w:t>
      </w:r>
      <w:r>
        <w:rPr>
          <w:rFonts w:hint="eastAsia" w:asciiTheme="majorEastAsia" w:hAnsiTheme="majorEastAsia" w:eastAsiaTheme="majorEastAsia"/>
          <w:b/>
          <w:bCs/>
          <w:sz w:val="28"/>
          <w:szCs w:val="28"/>
          <w:highlight w:val="none"/>
          <w:lang w:val="en-US" w:eastAsia="zh-CN"/>
        </w:rPr>
        <w:t>需求</w:t>
      </w:r>
    </w:p>
    <w:p w14:paraId="51AF69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（一）本项目包含钢瓶检测、补充缺失药剂及运输、安装调试等，并由有相关资质单位出具合格的检测报告，以符合消防规范。拟投入本项目的项目团队</w:t>
      </w:r>
      <w:r>
        <w:rPr>
          <w:rFonts w:hint="eastAsia" w:ascii="宋体" w:hAnsi="宋体" w:cs="宋体"/>
          <w:b w:val="0"/>
          <w:bCs w:val="0"/>
          <w:sz w:val="24"/>
          <w:szCs w:val="24"/>
          <w:highlight w:val="none"/>
          <w:lang w:val="en-US" w:eastAsia="zh-CN"/>
        </w:rPr>
        <w:t>至少具有1名三级及</w:t>
      </w:r>
      <w:r>
        <w:rPr>
          <w:rFonts w:hint="eastAsia" w:ascii="宋体" w:hAnsi="宋体" w:eastAsia="宋体" w:cs="宋体"/>
          <w:b w:val="0"/>
          <w:bCs w:val="0"/>
          <w:sz w:val="24"/>
          <w:szCs w:val="24"/>
          <w:highlight w:val="none"/>
          <w:lang w:val="en-US" w:eastAsia="zh-CN"/>
        </w:rPr>
        <w:t>消防设施操作员并确保到场开展工作，投标人须在投标文件中提供人员证书和投标人为其缴纳的社保证明的原件扫描件。</w:t>
      </w:r>
    </w:p>
    <w:p w14:paraId="0D2D18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（二）质量标准及要求</w:t>
      </w:r>
    </w:p>
    <w:p w14:paraId="322901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投标人或投标人委托的气瓶检测单位具有《中华人民共和国特种设备检验检测机构核准证》等相关资质，投标时提供证书原件扫描件；若需要更换相关设备、配件、附件等，必须为同规格型号的正规、合格产品，并在更换时提供国家固定灭火系统和耐火构件质量监督检验中心出具的产品检验报告。</w:t>
      </w:r>
    </w:p>
    <w:p w14:paraId="6149C6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2.返厂检测、检修的所有七氟丙烷气体灭火装置需提供运输、检修、检测等整个过程的影像资料作为付款依据，如不提供不予支付合同款。</w:t>
      </w:r>
    </w:p>
    <w:p w14:paraId="459405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标人完成每批次钢瓶检测后，按照国家相关规定将检测维修好的消防气瓶安装接入原气体灭火系统，并进行调试，确保气体自动灭火系统能够正常稳定运行，并出具充装的消防气体灭火剂（七氟丙烷）国家级检测报告。</w:t>
      </w:r>
    </w:p>
    <w:p w14:paraId="6CC03D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4.按照国家相关规定对消防气瓶进行拆卸、登记、封存。投标人承担消防气瓶运输过程中的所有风险并负全部责任。按照国家相关规定对消防气瓶进行检测，对发现的问题进行维修和更换。</w:t>
      </w:r>
    </w:p>
    <w:p w14:paraId="05BE8C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5.完成检测的气瓶阀门与瓶身连接处安装钢瓶定期检验合格的检验金属环，且金属环是完整的，无切割焊接痕迹。完成一批验收一批，缩短验收时间。</w:t>
      </w:r>
    </w:p>
    <w:p w14:paraId="2FC0F3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p>
    <w:p w14:paraId="6A9BB76C">
      <w:pPr>
        <w:spacing w:line="480" w:lineRule="exact"/>
        <w:rPr>
          <w:rFonts w:hint="eastAsia" w:ascii="宋体" w:hAnsi="宋体" w:eastAsia="宋体" w:cs="宋体"/>
          <w:b w:val="0"/>
          <w:bCs w:val="0"/>
          <w:sz w:val="24"/>
          <w:szCs w:val="24"/>
          <w:highlight w:val="none"/>
          <w:lang w:val="en-US" w:eastAsia="zh-CN"/>
        </w:rPr>
      </w:pPr>
    </w:p>
    <w:p w14:paraId="71C523DE">
      <w:pPr>
        <w:spacing w:line="480" w:lineRule="exact"/>
        <w:rPr>
          <w:rFonts w:hint="eastAsia" w:ascii="宋体" w:hAnsi="宋体" w:eastAsia="宋体" w:cs="宋体"/>
          <w:b/>
          <w:bCs/>
          <w:sz w:val="24"/>
          <w:szCs w:val="24"/>
          <w:highlight w:val="none"/>
          <w:lang w:val="en-US" w:eastAsia="zh-CN"/>
        </w:rPr>
      </w:pPr>
    </w:p>
    <w:p w14:paraId="7E8F2D27">
      <w:pPr>
        <w:spacing w:line="480" w:lineRule="exact"/>
        <w:rPr>
          <w:rFonts w:hint="eastAsia" w:ascii="宋体" w:hAnsi="宋体" w:eastAsia="宋体" w:cs="宋体"/>
          <w:b/>
          <w:bCs/>
          <w:sz w:val="24"/>
          <w:szCs w:val="24"/>
          <w:highlight w:val="none"/>
          <w:lang w:val="en-US" w:eastAsia="zh-CN"/>
        </w:rPr>
      </w:pPr>
    </w:p>
    <w:p w14:paraId="7F9B94D2">
      <w:pPr>
        <w:spacing w:line="480" w:lineRule="exact"/>
        <w:rPr>
          <w:rFonts w:hint="eastAsia" w:ascii="宋体" w:hAnsi="宋体" w:eastAsia="宋体" w:cs="宋体"/>
          <w:b/>
          <w:bCs/>
          <w:sz w:val="24"/>
          <w:szCs w:val="24"/>
          <w:highlight w:val="none"/>
          <w:lang w:val="en-US" w:eastAsia="zh-CN"/>
        </w:rPr>
      </w:pPr>
    </w:p>
    <w:p w14:paraId="2004BC7A">
      <w:pPr>
        <w:spacing w:line="480" w:lineRule="exact"/>
        <w:rPr>
          <w:rFonts w:hint="eastAsia" w:ascii="宋体" w:hAnsi="宋体" w:eastAsia="宋体" w:cs="宋体"/>
          <w:b/>
          <w:bCs/>
          <w:sz w:val="24"/>
          <w:szCs w:val="24"/>
          <w:highlight w:val="none"/>
          <w:lang w:val="en-US" w:eastAsia="zh-CN"/>
        </w:rPr>
      </w:pPr>
    </w:p>
    <w:p w14:paraId="2F9E9D83">
      <w:pPr>
        <w:spacing w:line="480" w:lineRule="exact"/>
        <w:rPr>
          <w:rFonts w:hint="eastAsia" w:ascii="宋体" w:hAnsi="宋体" w:eastAsia="宋体" w:cs="宋体"/>
          <w:b/>
          <w:bCs/>
          <w:sz w:val="24"/>
          <w:szCs w:val="24"/>
          <w:highlight w:val="none"/>
          <w:lang w:val="en-US" w:eastAsia="zh-CN"/>
        </w:rPr>
      </w:pPr>
    </w:p>
    <w:p w14:paraId="565ED3D3">
      <w:pPr>
        <w:spacing w:line="480" w:lineRule="exact"/>
        <w:rPr>
          <w:rFonts w:hint="eastAsia" w:ascii="宋体" w:hAnsi="宋体" w:eastAsia="宋体" w:cs="宋体"/>
          <w:b/>
          <w:bCs/>
          <w:sz w:val="24"/>
          <w:szCs w:val="24"/>
          <w:highlight w:val="none"/>
          <w:lang w:val="en-US" w:eastAsia="zh-CN"/>
        </w:rPr>
      </w:pPr>
    </w:p>
    <w:p w14:paraId="76F56E0A">
      <w:pPr>
        <w:spacing w:line="48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三、维修清单</w:t>
      </w:r>
    </w:p>
    <w:p w14:paraId="6EFE54BA">
      <w:pPr>
        <w:spacing w:line="480" w:lineRule="exact"/>
        <w:jc w:val="center"/>
        <w:rPr>
          <w:rFonts w:hint="eastAsia" w:ascii="宋体" w:hAnsi="宋体" w:eastAsia="宋体" w:cs="宋体"/>
          <w:b w:val="0"/>
          <w:bCs w:val="0"/>
          <w:sz w:val="24"/>
          <w:szCs w:val="24"/>
          <w:highlight w:val="none"/>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216"/>
        <w:gridCol w:w="1267"/>
        <w:gridCol w:w="1416"/>
        <w:gridCol w:w="714"/>
        <w:gridCol w:w="789"/>
        <w:gridCol w:w="3044"/>
      </w:tblGrid>
      <w:tr w14:paraId="3021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14:paraId="4D4E541F">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1216" w:type="dxa"/>
          </w:tcPr>
          <w:p w14:paraId="4BD8CE52">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设备名称</w:t>
            </w:r>
          </w:p>
        </w:tc>
        <w:tc>
          <w:tcPr>
            <w:tcW w:w="1267" w:type="dxa"/>
          </w:tcPr>
          <w:p w14:paraId="5D11680E">
            <w:pPr>
              <w:spacing w:line="480" w:lineRule="exact"/>
              <w:jc w:val="center"/>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项目地址</w:t>
            </w:r>
          </w:p>
        </w:tc>
        <w:tc>
          <w:tcPr>
            <w:tcW w:w="1416" w:type="dxa"/>
          </w:tcPr>
          <w:p w14:paraId="67E085D0">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规格型号</w:t>
            </w:r>
          </w:p>
        </w:tc>
        <w:tc>
          <w:tcPr>
            <w:tcW w:w="714" w:type="dxa"/>
          </w:tcPr>
          <w:p w14:paraId="43309932">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单位</w:t>
            </w:r>
          </w:p>
        </w:tc>
        <w:tc>
          <w:tcPr>
            <w:tcW w:w="789" w:type="dxa"/>
          </w:tcPr>
          <w:p w14:paraId="4D07541A">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数量</w:t>
            </w:r>
          </w:p>
        </w:tc>
        <w:tc>
          <w:tcPr>
            <w:tcW w:w="3044" w:type="dxa"/>
          </w:tcPr>
          <w:p w14:paraId="5416C70C">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1994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94" w:type="dxa"/>
            <w:vMerge w:val="restart"/>
            <w:vAlign w:val="center"/>
          </w:tcPr>
          <w:p w14:paraId="781D84D7">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16" w:type="dxa"/>
            <w:vMerge w:val="restart"/>
            <w:vAlign w:val="center"/>
          </w:tcPr>
          <w:p w14:paraId="5E97673D">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七氟丙烷柜式气体灭火剂瓶组检修</w:t>
            </w:r>
          </w:p>
        </w:tc>
        <w:tc>
          <w:tcPr>
            <w:tcW w:w="1267" w:type="dxa"/>
            <w:vAlign w:val="center"/>
          </w:tcPr>
          <w:p w14:paraId="4B17145F">
            <w:pPr>
              <w:spacing w:line="480" w:lineRule="exact"/>
              <w:jc w:val="center"/>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科普教育基地</w:t>
            </w:r>
          </w:p>
        </w:tc>
        <w:tc>
          <w:tcPr>
            <w:tcW w:w="1416" w:type="dxa"/>
            <w:vAlign w:val="center"/>
          </w:tcPr>
          <w:p w14:paraId="37D4EF4C">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QMP150/2.5</w:t>
            </w:r>
          </w:p>
        </w:tc>
        <w:tc>
          <w:tcPr>
            <w:tcW w:w="714" w:type="dxa"/>
            <w:vAlign w:val="center"/>
          </w:tcPr>
          <w:p w14:paraId="33303C9D">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套</w:t>
            </w:r>
          </w:p>
        </w:tc>
        <w:tc>
          <w:tcPr>
            <w:tcW w:w="789" w:type="dxa"/>
            <w:vAlign w:val="center"/>
          </w:tcPr>
          <w:p w14:paraId="1D2B9D27">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044" w:type="dxa"/>
            <w:vMerge w:val="restart"/>
          </w:tcPr>
          <w:p w14:paraId="52F26C1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本项目包括但不限于钢瓶检测密封压力检测，补充全部缺失（包括但不限于各种损耗、亏损、泄漏等一切可能使气体减少的方式）气体（数量在气体总重量的50%以内，该数量为预估数量，以现场实际重量为准，不再追加其他预算，中标方自行承担所有充装缺失或亏损药剂费用）保证压力、强度、纯度等参数正常，易损件维修更换，保证设备正常使用并出具检测合格的报告</w:t>
            </w:r>
          </w:p>
        </w:tc>
      </w:tr>
      <w:tr w14:paraId="7921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94" w:type="dxa"/>
            <w:vMerge w:val="continue"/>
            <w:vAlign w:val="center"/>
          </w:tcPr>
          <w:p w14:paraId="70D275E0">
            <w:pPr>
              <w:spacing w:line="480" w:lineRule="exact"/>
              <w:jc w:val="center"/>
              <w:rPr>
                <w:rFonts w:hint="eastAsia" w:ascii="宋体" w:hAnsi="宋体" w:eastAsia="宋体" w:cs="宋体"/>
                <w:b w:val="0"/>
                <w:bCs w:val="0"/>
                <w:sz w:val="24"/>
                <w:szCs w:val="24"/>
                <w:highlight w:val="none"/>
                <w:vertAlign w:val="baseline"/>
                <w:lang w:val="en-US" w:eastAsia="zh-CN"/>
              </w:rPr>
            </w:pPr>
          </w:p>
        </w:tc>
        <w:tc>
          <w:tcPr>
            <w:tcW w:w="1216" w:type="dxa"/>
            <w:vMerge w:val="continue"/>
            <w:vAlign w:val="center"/>
          </w:tcPr>
          <w:p w14:paraId="0EF8926F">
            <w:pPr>
              <w:spacing w:line="480" w:lineRule="exact"/>
              <w:jc w:val="center"/>
              <w:rPr>
                <w:rFonts w:hint="eastAsia" w:ascii="宋体" w:hAnsi="宋体" w:eastAsia="宋体" w:cs="宋体"/>
                <w:b w:val="0"/>
                <w:bCs w:val="0"/>
                <w:sz w:val="24"/>
                <w:szCs w:val="24"/>
                <w:highlight w:val="none"/>
                <w:vertAlign w:val="baseline"/>
                <w:lang w:val="en-US" w:eastAsia="zh-CN"/>
              </w:rPr>
            </w:pPr>
          </w:p>
        </w:tc>
        <w:tc>
          <w:tcPr>
            <w:tcW w:w="1267" w:type="dxa"/>
            <w:vMerge w:val="restart"/>
            <w:vAlign w:val="center"/>
          </w:tcPr>
          <w:p w14:paraId="51E03D68">
            <w:pPr>
              <w:spacing w:line="480" w:lineRule="exact"/>
              <w:jc w:val="center"/>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国库支付中心综合楼</w:t>
            </w:r>
          </w:p>
        </w:tc>
        <w:tc>
          <w:tcPr>
            <w:tcW w:w="1416" w:type="dxa"/>
            <w:vAlign w:val="center"/>
          </w:tcPr>
          <w:p w14:paraId="15889AEF">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QMP180/2.5</w:t>
            </w:r>
          </w:p>
        </w:tc>
        <w:tc>
          <w:tcPr>
            <w:tcW w:w="714" w:type="dxa"/>
            <w:vAlign w:val="center"/>
          </w:tcPr>
          <w:p w14:paraId="5D545828">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套</w:t>
            </w:r>
          </w:p>
        </w:tc>
        <w:tc>
          <w:tcPr>
            <w:tcW w:w="789" w:type="dxa"/>
            <w:vAlign w:val="center"/>
          </w:tcPr>
          <w:p w14:paraId="597CD7FD">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044" w:type="dxa"/>
            <w:vMerge w:val="continue"/>
          </w:tcPr>
          <w:p w14:paraId="7F9739A7">
            <w:pPr>
              <w:spacing w:line="480" w:lineRule="exact"/>
              <w:rPr>
                <w:rFonts w:hint="eastAsia" w:ascii="宋体" w:hAnsi="宋体" w:eastAsia="宋体" w:cs="宋体"/>
                <w:b w:val="0"/>
                <w:bCs w:val="0"/>
                <w:sz w:val="24"/>
                <w:szCs w:val="24"/>
                <w:highlight w:val="none"/>
                <w:vertAlign w:val="baseline"/>
                <w:lang w:val="en-US" w:eastAsia="zh-CN"/>
              </w:rPr>
            </w:pPr>
          </w:p>
        </w:tc>
      </w:tr>
      <w:tr w14:paraId="662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694" w:type="dxa"/>
            <w:vMerge w:val="continue"/>
            <w:vAlign w:val="center"/>
          </w:tcPr>
          <w:p w14:paraId="6C7A8F2A">
            <w:pPr>
              <w:spacing w:line="480" w:lineRule="exact"/>
              <w:jc w:val="center"/>
              <w:rPr>
                <w:rFonts w:hint="eastAsia" w:ascii="宋体" w:hAnsi="宋体" w:eastAsia="宋体" w:cs="宋体"/>
                <w:b w:val="0"/>
                <w:bCs w:val="0"/>
                <w:sz w:val="24"/>
                <w:szCs w:val="24"/>
                <w:highlight w:val="none"/>
                <w:vertAlign w:val="baseline"/>
                <w:lang w:val="en-US" w:eastAsia="zh-CN"/>
              </w:rPr>
            </w:pPr>
          </w:p>
        </w:tc>
        <w:tc>
          <w:tcPr>
            <w:tcW w:w="1216" w:type="dxa"/>
            <w:vMerge w:val="continue"/>
            <w:vAlign w:val="center"/>
          </w:tcPr>
          <w:p w14:paraId="3E06B5BA">
            <w:pPr>
              <w:spacing w:line="480" w:lineRule="exact"/>
              <w:jc w:val="center"/>
              <w:rPr>
                <w:rFonts w:hint="eastAsia" w:ascii="宋体" w:hAnsi="宋体" w:eastAsia="宋体" w:cs="宋体"/>
                <w:b w:val="0"/>
                <w:bCs w:val="0"/>
                <w:sz w:val="24"/>
                <w:szCs w:val="24"/>
                <w:highlight w:val="none"/>
                <w:vertAlign w:val="baseline"/>
                <w:lang w:val="en-US" w:eastAsia="zh-CN"/>
              </w:rPr>
            </w:pPr>
          </w:p>
        </w:tc>
        <w:tc>
          <w:tcPr>
            <w:tcW w:w="1267" w:type="dxa"/>
            <w:vMerge w:val="continue"/>
            <w:vAlign w:val="center"/>
          </w:tcPr>
          <w:p w14:paraId="794756EC">
            <w:pPr>
              <w:spacing w:line="480" w:lineRule="exact"/>
              <w:jc w:val="center"/>
              <w:rPr>
                <w:rFonts w:hint="eastAsia" w:ascii="宋体" w:hAnsi="宋体" w:eastAsia="宋体" w:cs="宋体"/>
                <w:b w:val="0"/>
                <w:bCs w:val="0"/>
                <w:sz w:val="24"/>
                <w:szCs w:val="24"/>
                <w:highlight w:val="none"/>
                <w:vertAlign w:val="baseline"/>
                <w:lang w:val="en-US" w:eastAsia="zh-CN"/>
              </w:rPr>
            </w:pPr>
          </w:p>
        </w:tc>
        <w:tc>
          <w:tcPr>
            <w:tcW w:w="1416" w:type="dxa"/>
            <w:vAlign w:val="center"/>
          </w:tcPr>
          <w:p w14:paraId="74B79906">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QMP120/2.5</w:t>
            </w:r>
          </w:p>
        </w:tc>
        <w:tc>
          <w:tcPr>
            <w:tcW w:w="714" w:type="dxa"/>
            <w:vAlign w:val="center"/>
          </w:tcPr>
          <w:p w14:paraId="3D9D39FE">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套</w:t>
            </w:r>
          </w:p>
        </w:tc>
        <w:tc>
          <w:tcPr>
            <w:tcW w:w="789" w:type="dxa"/>
            <w:vAlign w:val="center"/>
          </w:tcPr>
          <w:p w14:paraId="7F332945">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4</w:t>
            </w:r>
          </w:p>
        </w:tc>
        <w:tc>
          <w:tcPr>
            <w:tcW w:w="3044" w:type="dxa"/>
            <w:vMerge w:val="continue"/>
          </w:tcPr>
          <w:p w14:paraId="79BA917A">
            <w:pPr>
              <w:spacing w:line="480" w:lineRule="exact"/>
              <w:rPr>
                <w:rFonts w:hint="eastAsia" w:ascii="宋体" w:hAnsi="宋体" w:eastAsia="宋体" w:cs="宋体"/>
                <w:b w:val="0"/>
                <w:bCs w:val="0"/>
                <w:sz w:val="24"/>
                <w:szCs w:val="24"/>
                <w:highlight w:val="none"/>
                <w:vertAlign w:val="baseline"/>
                <w:lang w:val="en-US" w:eastAsia="zh-CN"/>
              </w:rPr>
            </w:pPr>
          </w:p>
        </w:tc>
      </w:tr>
      <w:tr w14:paraId="025B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94" w:type="dxa"/>
            <w:vMerge w:val="continue"/>
            <w:vAlign w:val="center"/>
          </w:tcPr>
          <w:p w14:paraId="43CEF005">
            <w:pPr>
              <w:spacing w:line="480" w:lineRule="exact"/>
              <w:jc w:val="center"/>
              <w:rPr>
                <w:rFonts w:hint="eastAsia" w:ascii="宋体" w:hAnsi="宋体" w:eastAsia="宋体" w:cs="宋体"/>
                <w:b w:val="0"/>
                <w:bCs w:val="0"/>
                <w:sz w:val="24"/>
                <w:szCs w:val="24"/>
                <w:highlight w:val="none"/>
                <w:vertAlign w:val="baseline"/>
                <w:lang w:val="en-US" w:eastAsia="zh-CN"/>
              </w:rPr>
            </w:pPr>
          </w:p>
        </w:tc>
        <w:tc>
          <w:tcPr>
            <w:tcW w:w="1216" w:type="dxa"/>
            <w:vMerge w:val="continue"/>
            <w:vAlign w:val="center"/>
          </w:tcPr>
          <w:p w14:paraId="0CCD845F">
            <w:pPr>
              <w:spacing w:line="480" w:lineRule="exact"/>
              <w:jc w:val="center"/>
              <w:rPr>
                <w:rFonts w:hint="eastAsia" w:ascii="宋体" w:hAnsi="宋体" w:eastAsia="宋体" w:cs="宋体"/>
                <w:b w:val="0"/>
                <w:bCs w:val="0"/>
                <w:sz w:val="24"/>
                <w:szCs w:val="24"/>
                <w:highlight w:val="none"/>
                <w:vertAlign w:val="baseline"/>
                <w:lang w:val="en-US" w:eastAsia="zh-CN"/>
              </w:rPr>
            </w:pPr>
          </w:p>
        </w:tc>
        <w:tc>
          <w:tcPr>
            <w:tcW w:w="1267" w:type="dxa"/>
            <w:vAlign w:val="center"/>
          </w:tcPr>
          <w:p w14:paraId="6D7D7EFB">
            <w:pPr>
              <w:spacing w:line="480" w:lineRule="exact"/>
              <w:jc w:val="center"/>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老年大学</w:t>
            </w:r>
          </w:p>
        </w:tc>
        <w:tc>
          <w:tcPr>
            <w:tcW w:w="1416" w:type="dxa"/>
            <w:vAlign w:val="center"/>
          </w:tcPr>
          <w:p w14:paraId="7A65A552">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QMP120/2.5</w:t>
            </w:r>
          </w:p>
        </w:tc>
        <w:tc>
          <w:tcPr>
            <w:tcW w:w="714" w:type="dxa"/>
            <w:vAlign w:val="center"/>
          </w:tcPr>
          <w:p w14:paraId="5D219F61">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套</w:t>
            </w:r>
          </w:p>
        </w:tc>
        <w:tc>
          <w:tcPr>
            <w:tcW w:w="789" w:type="dxa"/>
            <w:vAlign w:val="center"/>
          </w:tcPr>
          <w:p w14:paraId="1F62DD67">
            <w:pPr>
              <w:spacing w:line="480" w:lineRule="exact"/>
              <w:jc w:val="center"/>
              <w:rPr>
                <w:rFonts w:hint="default" w:ascii="宋体" w:hAnsi="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12</w:t>
            </w:r>
          </w:p>
        </w:tc>
        <w:tc>
          <w:tcPr>
            <w:tcW w:w="3044" w:type="dxa"/>
            <w:vMerge w:val="continue"/>
          </w:tcPr>
          <w:p w14:paraId="0DE6CC9D">
            <w:pPr>
              <w:spacing w:line="480" w:lineRule="exact"/>
              <w:rPr>
                <w:rFonts w:hint="eastAsia" w:ascii="宋体" w:hAnsi="宋体" w:eastAsia="宋体" w:cs="宋体"/>
                <w:b w:val="0"/>
                <w:bCs w:val="0"/>
                <w:sz w:val="24"/>
                <w:szCs w:val="24"/>
                <w:highlight w:val="none"/>
                <w:vertAlign w:val="baseline"/>
                <w:lang w:val="en-US" w:eastAsia="zh-CN"/>
              </w:rPr>
            </w:pPr>
          </w:p>
        </w:tc>
      </w:tr>
      <w:tr w14:paraId="153F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94" w:type="dxa"/>
            <w:vAlign w:val="center"/>
          </w:tcPr>
          <w:p w14:paraId="208BF77F">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16" w:type="dxa"/>
            <w:vAlign w:val="center"/>
          </w:tcPr>
          <w:p w14:paraId="59082548">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其他</w:t>
            </w:r>
          </w:p>
        </w:tc>
        <w:tc>
          <w:tcPr>
            <w:tcW w:w="7230" w:type="dxa"/>
            <w:gridSpan w:val="5"/>
            <w:vAlign w:val="center"/>
          </w:tcPr>
          <w:p w14:paraId="0CB242B7">
            <w:pPr>
              <w:spacing w:line="480" w:lineRule="exact"/>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包括但不限于</w:t>
            </w:r>
            <w:r>
              <w:rPr>
                <w:rFonts w:hint="eastAsia" w:ascii="宋体" w:hAnsi="宋体" w:cs="宋体"/>
                <w:b w:val="0"/>
                <w:bCs w:val="0"/>
                <w:sz w:val="24"/>
                <w:szCs w:val="24"/>
                <w:highlight w:val="none"/>
                <w:vertAlign w:val="baseline"/>
                <w:lang w:val="en-US" w:eastAsia="zh-CN"/>
              </w:rPr>
              <w:t>柜式</w:t>
            </w:r>
            <w:r>
              <w:rPr>
                <w:rFonts w:hint="eastAsia" w:ascii="宋体" w:hAnsi="宋体" w:eastAsia="宋体" w:cs="宋体"/>
                <w:b w:val="0"/>
                <w:bCs w:val="0"/>
                <w:sz w:val="24"/>
                <w:szCs w:val="24"/>
                <w:highlight w:val="none"/>
                <w:vertAlign w:val="baseline"/>
                <w:lang w:val="en-US" w:eastAsia="zh-CN"/>
              </w:rPr>
              <w:t>七氟丙烷钢瓶拆装、运输、倒瓶、药剂补充、故障配件维修更换、往返运输、人员、系统及管路调试、税费等所有费用。(其中，灭火剂的重量和种类等参数以气瓶出厂铭牌为准)</w:t>
            </w:r>
          </w:p>
        </w:tc>
      </w:tr>
    </w:tbl>
    <w:p w14:paraId="01AFE025">
      <w:pPr>
        <w:spacing w:line="48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备注：本项目包括但不限于钢瓶检测密封压力检测，补充全部损耗以及亏损气体保证压力、强度、纯度、水分等全部参数正常，易损件维修更换，保证设备正常使用并出具检测合格的报告。</w:t>
      </w:r>
    </w:p>
    <w:p w14:paraId="601BFF76">
      <w:pPr>
        <w:spacing w:line="480" w:lineRule="exact"/>
        <w:ind w:firstLine="2040" w:firstLineChars="850"/>
        <w:rPr>
          <w:rFonts w:hint="eastAsia" w:ascii="宋体" w:hAnsi="宋体" w:eastAsia="宋体" w:cs="宋体"/>
          <w:b w:val="0"/>
          <w:bCs w:val="0"/>
          <w:sz w:val="24"/>
          <w:szCs w:val="24"/>
          <w:highlight w:val="none"/>
          <w:lang w:val="en-US" w:eastAsia="zh-CN"/>
        </w:rPr>
      </w:pPr>
    </w:p>
    <w:p w14:paraId="73926D29">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402499C9">
      <w:pPr>
        <w:spacing w:line="480" w:lineRule="exact"/>
        <w:rPr>
          <w:rFonts w:hint="eastAsia" w:asciiTheme="majorEastAsia" w:hAnsiTheme="majorEastAsia" w:eastAsiaTheme="majorEastAsia"/>
          <w:b/>
          <w:bCs/>
          <w:sz w:val="28"/>
          <w:szCs w:val="28"/>
          <w:highlight w:val="none"/>
          <w:lang w:val="en-US" w:eastAsia="zh-CN"/>
        </w:rPr>
      </w:pPr>
    </w:p>
    <w:p w14:paraId="3B43C660">
      <w:pPr>
        <w:spacing w:line="480" w:lineRule="exact"/>
        <w:rPr>
          <w:rFonts w:hint="eastAsia" w:asciiTheme="majorEastAsia" w:hAnsiTheme="majorEastAsia" w:eastAsiaTheme="majorEastAsia"/>
          <w:b/>
          <w:bCs/>
          <w:sz w:val="28"/>
          <w:szCs w:val="28"/>
          <w:highlight w:val="none"/>
          <w:lang w:val="en-US" w:eastAsia="zh-CN"/>
        </w:rPr>
      </w:pPr>
    </w:p>
    <w:p w14:paraId="5F463065">
      <w:pPr>
        <w:spacing w:line="480" w:lineRule="exact"/>
        <w:ind w:firstLine="2389" w:firstLineChars="850"/>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lang w:val="en-US" w:eastAsia="zh-CN"/>
        </w:rPr>
        <w:t>四</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5D17FEE1">
      <w:pPr>
        <w:pStyle w:val="32"/>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hint="eastAsia" w:asciiTheme="minorEastAsia" w:hAnsiTheme="minorEastAsia"/>
          <w:i w:val="0"/>
          <w:iCs/>
          <w:highlight w:val="none"/>
          <w:u w:val="single"/>
          <w:lang w:val="en-US" w:eastAsia="zh-CN"/>
        </w:rPr>
        <w:t>柜式七氟丙烷灭火器检测充装项目（老年大学、国库支付中心、科普教育基地）</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2"/>
        <w:spacing w:line="480" w:lineRule="auto"/>
        <w:ind w:firstLine="540" w:firstLineChars="225"/>
        <w:jc w:val="left"/>
        <w:rPr>
          <w:rFonts w:asciiTheme="minorEastAsia" w:hAnsiTheme="minorEastAsia"/>
          <w:highlight w:val="none"/>
        </w:rPr>
      </w:pPr>
    </w:p>
    <w:p w14:paraId="43EA2DDE">
      <w:pPr>
        <w:pStyle w:val="32"/>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2AF8DFCC">
      <w:pPr>
        <w:pStyle w:val="32"/>
        <w:spacing w:line="480" w:lineRule="auto"/>
        <w:ind w:left="-538" w:leftChars="-256" w:firstLine="616" w:firstLineChars="257"/>
        <w:jc w:val="center"/>
        <w:rPr>
          <w:rFonts w:asciiTheme="minorEastAsia" w:hAnsiTheme="minorEastAsia"/>
          <w:bCs/>
          <w:highlight w:val="none"/>
        </w:rPr>
      </w:pPr>
    </w:p>
    <w:p w14:paraId="67898E44">
      <w:pPr>
        <w:autoSpaceDE w:val="0"/>
        <w:autoSpaceDN w:val="0"/>
        <w:adjustRightInd w:val="0"/>
        <w:spacing w:line="360" w:lineRule="auto"/>
        <w:ind w:right="-11"/>
        <w:rPr>
          <w:rFonts w:cs="宋体" w:asciiTheme="minorEastAsia" w:hAnsiTheme="minorEastAsia"/>
          <w:sz w:val="24"/>
          <w:highlight w:val="none"/>
          <w:lang w:val="zh-CN"/>
        </w:rPr>
      </w:pP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3538F43C">
      <w:pPr>
        <w:pStyle w:val="33"/>
        <w:spacing w:before="60" w:line="480" w:lineRule="auto"/>
        <w:ind w:firstLine="4500" w:firstLineChars="1875"/>
        <w:rPr>
          <w:rFonts w:cs="Arial" w:asciiTheme="minorEastAsia" w:hAnsiTheme="minorEastAsia" w:eastAsiaTheme="minorEastAsia"/>
          <w:szCs w:val="24"/>
          <w:highlight w:val="none"/>
        </w:rPr>
      </w:pPr>
      <w:r>
        <w:rPr>
          <w:rFonts w:hint="eastAsia" w:cs="Arial" w:asciiTheme="minorEastAsia" w:hAnsiTheme="minorEastAsia" w:eastAsiaTheme="minorEastAsia"/>
          <w:szCs w:val="24"/>
          <w:highlight w:val="none"/>
        </w:rPr>
        <w:t>签署日期：   年   月  日</w:t>
      </w:r>
    </w:p>
    <w:p w14:paraId="14AB85C6">
      <w:pPr>
        <w:pStyle w:val="34"/>
        <w:spacing w:line="480" w:lineRule="auto"/>
        <w:rPr>
          <w:rFonts w:cs="Arial" w:asciiTheme="minorEastAsia" w:hAnsiTheme="minorEastAsia"/>
          <w:sz w:val="21"/>
          <w:szCs w:val="21"/>
          <w:highlight w:val="none"/>
        </w:rPr>
      </w:pPr>
    </w:p>
    <w:p w14:paraId="38DB8E58">
      <w:pPr>
        <w:spacing w:line="480" w:lineRule="exact"/>
        <w:ind w:firstLine="2289" w:firstLineChars="950"/>
        <w:rPr>
          <w:rFonts w:ascii="宋体" w:hAnsi="宋体"/>
          <w:b/>
          <w:bCs/>
          <w:sz w:val="24"/>
          <w:highlight w:val="none"/>
        </w:rPr>
      </w:pPr>
    </w:p>
    <w:p w14:paraId="797C58EF">
      <w:pPr>
        <w:rPr>
          <w:rFonts w:ascii="宋体" w:hAnsi="宋体"/>
          <w:b/>
          <w:bCs/>
          <w:sz w:val="24"/>
          <w:highlight w:val="none"/>
        </w:rPr>
      </w:pPr>
      <w:r>
        <w:rPr>
          <w:rFonts w:hint="eastAsia" w:ascii="宋体" w:hAnsi="宋体"/>
          <w:b/>
          <w:bCs/>
          <w:sz w:val="24"/>
          <w:highlight w:val="none"/>
        </w:rPr>
        <w:br w:type="page"/>
      </w:r>
    </w:p>
    <w:p w14:paraId="1FF520EE">
      <w:pPr>
        <w:spacing w:line="480" w:lineRule="exact"/>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、法定代表人（单位负责人）授权书</w:t>
      </w:r>
    </w:p>
    <w:p w14:paraId="449E0CAD">
      <w:pPr>
        <w:adjustRightInd w:val="0"/>
        <w:spacing w:line="360" w:lineRule="auto"/>
        <w:ind w:firstLine="240" w:firstLineChars="1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w:t>
      </w:r>
      <w:r>
        <w:rPr>
          <w:rFonts w:hint="eastAsia" w:cs="Arial" w:asciiTheme="minorEastAsia" w:hAnsiTheme="minorEastAsia"/>
          <w:sz w:val="24"/>
          <w:highlight w:val="none"/>
          <w:u w:val="single"/>
          <w:lang w:val="en-US" w:eastAsia="zh-CN"/>
        </w:rPr>
        <w:t>柜式七氟丙烷灭火器检测充装项目（老年大学、国库支付中心、科普教育基地）</w:t>
      </w:r>
      <w:r>
        <w:rPr>
          <w:rFonts w:hint="eastAsia" w:cs="Arial" w:asciiTheme="minorEastAsia" w:hAnsiTheme="minorEastAsia"/>
          <w:sz w:val="24"/>
          <w:highlight w:val="none"/>
        </w:rPr>
        <w:t>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5"/>
        <w:ind w:firstLine="480" w:firstLineChars="200"/>
        <w:rPr>
          <w:highlight w:val="none"/>
        </w:rPr>
      </w:pPr>
      <w:r>
        <w:rPr>
          <w:rFonts w:hint="eastAsia" w:hAnsi="Times New Roman"/>
          <w:szCs w:val="21"/>
          <w:highlight w:val="none"/>
        </w:rPr>
        <w:t>法定代表人（单位负责人）授权代表联系电话（手机）：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六</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hint="eastAsia" w:cs="宋体" w:asciiTheme="minorEastAsia" w:hAnsiTheme="minorEastAsia"/>
          <w:sz w:val="24"/>
          <w:highlight w:val="none"/>
          <w:u w:val="single"/>
          <w:lang w:val="en-US" w:eastAsia="zh-CN"/>
        </w:rPr>
        <w:t>柜式七氟丙烷灭火器检测充装项目（老年大学、国库支付中心、科普教育基地）</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30"/>
        <w:rPr>
          <w:rFonts w:ascii="宋体" w:cs="宋体"/>
          <w:szCs w:val="21"/>
          <w:highlight w:val="none"/>
        </w:rPr>
      </w:pPr>
    </w:p>
    <w:p w14:paraId="079429B9">
      <w:pPr>
        <w:pStyle w:val="30"/>
        <w:rPr>
          <w:rFonts w:ascii="宋体" w:cs="宋体"/>
          <w:szCs w:val="21"/>
          <w:highlight w:val="none"/>
        </w:rPr>
      </w:pPr>
    </w:p>
    <w:p w14:paraId="502D739A">
      <w:pPr>
        <w:pStyle w:val="30"/>
        <w:rPr>
          <w:rFonts w:ascii="宋体" w:cs="宋体"/>
          <w:szCs w:val="21"/>
          <w:highlight w:val="none"/>
        </w:rPr>
      </w:pPr>
    </w:p>
    <w:p w14:paraId="1623EB6D">
      <w:pPr>
        <w:pStyle w:val="30"/>
        <w:rPr>
          <w:rFonts w:ascii="宋体" w:cs="宋体"/>
          <w:szCs w:val="21"/>
          <w:highlight w:val="none"/>
        </w:rPr>
      </w:pPr>
    </w:p>
    <w:p w14:paraId="62D48260">
      <w:pPr>
        <w:pStyle w:val="30"/>
        <w:rPr>
          <w:rFonts w:ascii="宋体" w:cs="宋体"/>
          <w:szCs w:val="21"/>
          <w:highlight w:val="none"/>
        </w:rPr>
      </w:pPr>
    </w:p>
    <w:p w14:paraId="28939201">
      <w:pPr>
        <w:pStyle w:val="30"/>
        <w:rPr>
          <w:rFonts w:ascii="宋体" w:cs="宋体"/>
          <w:szCs w:val="21"/>
          <w:highlight w:val="none"/>
        </w:rPr>
      </w:pPr>
    </w:p>
    <w:p w14:paraId="3EB9250B">
      <w:pPr>
        <w:pStyle w:val="30"/>
        <w:rPr>
          <w:rFonts w:ascii="宋体" w:cs="宋体"/>
          <w:szCs w:val="21"/>
          <w:highlight w:val="none"/>
        </w:rPr>
      </w:pPr>
    </w:p>
    <w:p w14:paraId="14D6293C">
      <w:pPr>
        <w:pStyle w:val="30"/>
        <w:rPr>
          <w:rFonts w:ascii="宋体" w:cs="宋体"/>
          <w:szCs w:val="21"/>
          <w:highlight w:val="none"/>
        </w:rPr>
      </w:pPr>
    </w:p>
    <w:p w14:paraId="298ED87B">
      <w:pPr>
        <w:pStyle w:val="30"/>
        <w:rPr>
          <w:rFonts w:ascii="宋体" w:cs="宋体"/>
          <w:szCs w:val="21"/>
          <w:highlight w:val="none"/>
        </w:rPr>
      </w:pPr>
    </w:p>
    <w:p w14:paraId="3FF1EC50">
      <w:pPr>
        <w:pStyle w:val="30"/>
        <w:rPr>
          <w:rFonts w:ascii="宋体" w:cs="宋体"/>
          <w:szCs w:val="21"/>
          <w:highlight w:val="none"/>
        </w:rPr>
      </w:pPr>
    </w:p>
    <w:p w14:paraId="1F4512C9">
      <w:pPr>
        <w:pStyle w:val="30"/>
        <w:rPr>
          <w:rFonts w:ascii="宋体" w:cs="宋体"/>
          <w:szCs w:val="21"/>
          <w:highlight w:val="none"/>
        </w:rPr>
      </w:pPr>
    </w:p>
    <w:p w14:paraId="1E4B0DFC">
      <w:pPr>
        <w:pStyle w:val="30"/>
        <w:rPr>
          <w:rFonts w:ascii="宋体" w:cs="宋体"/>
          <w:szCs w:val="21"/>
          <w:highlight w:val="none"/>
        </w:rPr>
      </w:pPr>
    </w:p>
    <w:p w14:paraId="0EE042D1">
      <w:pPr>
        <w:pStyle w:val="30"/>
        <w:rPr>
          <w:rFonts w:ascii="宋体" w:cs="宋体"/>
          <w:szCs w:val="21"/>
          <w:highlight w:val="none"/>
        </w:rPr>
      </w:pPr>
    </w:p>
    <w:p w14:paraId="658A55CE">
      <w:pPr>
        <w:pStyle w:val="30"/>
        <w:rPr>
          <w:rFonts w:ascii="宋体" w:cs="宋体"/>
          <w:szCs w:val="21"/>
          <w:highlight w:val="none"/>
        </w:rPr>
      </w:pPr>
    </w:p>
    <w:p w14:paraId="39F6B7E2">
      <w:pPr>
        <w:pStyle w:val="30"/>
        <w:rPr>
          <w:rFonts w:ascii="宋体" w:cs="宋体"/>
          <w:szCs w:val="21"/>
          <w:highlight w:val="none"/>
        </w:rPr>
      </w:pPr>
    </w:p>
    <w:p w14:paraId="680946B1">
      <w:pPr>
        <w:pStyle w:val="30"/>
        <w:rPr>
          <w:rFonts w:ascii="宋体" w:cs="宋体"/>
          <w:szCs w:val="21"/>
          <w:highlight w:val="none"/>
        </w:rPr>
      </w:pPr>
    </w:p>
    <w:p w14:paraId="19F788E0">
      <w:pPr>
        <w:pStyle w:val="30"/>
        <w:rPr>
          <w:rFonts w:ascii="宋体" w:cs="宋体"/>
          <w:szCs w:val="21"/>
          <w:highlight w:val="none"/>
        </w:rPr>
      </w:pPr>
    </w:p>
    <w:p w14:paraId="248169B9">
      <w:pPr>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、公司资料</w:t>
      </w:r>
    </w:p>
    <w:p w14:paraId="76317B18">
      <w:pPr>
        <w:rPr>
          <w:rFonts w:hint="eastAsia" w:ascii="仿宋_GB2312" w:hAnsi="仿宋_GB2312" w:eastAsia="仿宋_GB2312" w:cs="仿宋_GB2312"/>
          <w:color w:val="333333"/>
          <w:sz w:val="28"/>
          <w:szCs w:val="28"/>
          <w:highlight w:val="none"/>
        </w:rPr>
      </w:pPr>
    </w:p>
    <w:p w14:paraId="0F052A2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zh-CN"/>
        </w:rPr>
      </w:pPr>
      <w:r>
        <w:rPr>
          <w:rFonts w:hint="eastAsia" w:ascii="宋体" w:hAnsi="宋体" w:eastAsia="宋体" w:cs="宋体"/>
          <w:color w:val="333333"/>
          <w:sz w:val="24"/>
          <w:szCs w:val="24"/>
          <w:highlight w:val="none"/>
          <w:lang w:val="zh-CN"/>
        </w:rPr>
        <w:t>营业执照副本复印件；</w:t>
      </w:r>
    </w:p>
    <w:p w14:paraId="6EB1C4F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zh-CN"/>
        </w:rPr>
      </w:pPr>
      <w:r>
        <w:rPr>
          <w:rFonts w:hint="eastAsia" w:ascii="宋体" w:hAnsi="宋体" w:eastAsia="宋体" w:cs="宋体"/>
          <w:color w:val="333333"/>
          <w:sz w:val="24"/>
          <w:szCs w:val="24"/>
          <w:highlight w:val="none"/>
          <w:lang w:val="zh-CN" w:eastAsia="zh-CN"/>
        </w:rPr>
        <w:t>提供“社会消防技术服务信息系统”（https://shhxf.119.gov.cn/）网站备案（服务类型包含消防设施维护保养检测）截图</w:t>
      </w:r>
      <w:r>
        <w:rPr>
          <w:rFonts w:hint="eastAsia" w:ascii="宋体" w:hAnsi="宋体" w:cs="宋体"/>
          <w:color w:val="333333"/>
          <w:sz w:val="24"/>
          <w:szCs w:val="24"/>
          <w:highlight w:val="none"/>
          <w:lang w:val="zh-CN" w:eastAsia="zh-CN"/>
        </w:rPr>
        <w:t>；</w:t>
      </w:r>
    </w:p>
    <w:p w14:paraId="243045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eastAsia" w:ascii="宋体" w:hAnsi="宋体" w:eastAsia="宋体" w:cs="宋体"/>
          <w:b w:val="0"/>
          <w:bCs w:val="0"/>
          <w:color w:val="333333"/>
          <w:sz w:val="24"/>
          <w:szCs w:val="24"/>
          <w:highlight w:val="none"/>
          <w:lang w:val="zh-CN"/>
        </w:rPr>
      </w:pPr>
      <w:r>
        <w:rPr>
          <w:rFonts w:hint="eastAsia" w:ascii="宋体" w:hAnsi="宋体" w:eastAsia="宋体" w:cs="宋体"/>
          <w:b w:val="0"/>
          <w:bCs w:val="0"/>
          <w:color w:val="333333"/>
          <w:sz w:val="24"/>
          <w:szCs w:val="24"/>
          <w:highlight w:val="none"/>
          <w:lang w:val="en-US" w:eastAsia="zh-CN"/>
        </w:rPr>
        <w:t>2、</w:t>
      </w:r>
      <w:r>
        <w:rPr>
          <w:rFonts w:hint="eastAsia" w:ascii="宋体" w:hAnsi="宋体" w:eastAsia="宋体" w:cs="宋体"/>
          <w:b w:val="0"/>
          <w:bCs w:val="0"/>
          <w:color w:val="333333"/>
          <w:sz w:val="24"/>
          <w:szCs w:val="24"/>
          <w:highlight w:val="none"/>
        </w:rPr>
        <w:t>询价文件中供应商资格要求的资料</w:t>
      </w:r>
      <w:r>
        <w:rPr>
          <w:rFonts w:hint="eastAsia" w:ascii="宋体" w:hAnsi="宋体" w:eastAsia="宋体" w:cs="宋体"/>
          <w:b w:val="0"/>
          <w:bCs w:val="0"/>
          <w:color w:val="333333"/>
          <w:sz w:val="24"/>
          <w:szCs w:val="24"/>
          <w:highlight w:val="none"/>
          <w:lang w:val="zh-CN"/>
        </w:rPr>
        <w:t>；</w:t>
      </w:r>
    </w:p>
    <w:p w14:paraId="2851D94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default" w:ascii="宋体" w:hAnsi="宋体" w:eastAsia="宋体" w:cs="宋体"/>
          <w:b w:val="0"/>
          <w:bCs w:val="0"/>
          <w:color w:val="333333"/>
          <w:sz w:val="24"/>
          <w:szCs w:val="24"/>
          <w:highlight w:val="none"/>
          <w:lang w:val="en-US" w:eastAsia="zh-CN"/>
        </w:rPr>
      </w:pPr>
      <w:r>
        <w:rPr>
          <w:rFonts w:hint="eastAsia" w:ascii="宋体" w:hAnsi="宋体" w:cs="宋体"/>
          <w:b w:val="0"/>
          <w:bCs w:val="0"/>
          <w:color w:val="333333"/>
          <w:sz w:val="24"/>
          <w:szCs w:val="24"/>
          <w:highlight w:val="none"/>
          <w:lang w:val="en-US" w:eastAsia="zh-CN"/>
        </w:rPr>
        <w:t>3、拟派消防设施操作员名单、相关证书及投标人为其缴纳的社保证明的原件扫描件</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w:t>
      </w:r>
      <w:r>
        <w:rPr>
          <w:rFonts w:hint="eastAsia" w:ascii="宋体" w:hAnsi="宋体" w:eastAsia="宋体" w:cs="宋体"/>
          <w:color w:val="333333"/>
          <w:sz w:val="24"/>
          <w:szCs w:val="24"/>
          <w:highlight w:val="none"/>
          <w:lang w:val="zh-CN"/>
        </w:rPr>
        <w:t>供应商认为需要提供的其他文件，</w:t>
      </w:r>
      <w:r>
        <w:rPr>
          <w:rFonts w:hint="eastAsia" w:ascii="宋体" w:hAnsi="宋体" w:eastAsia="宋体" w:cs="宋体"/>
          <w:color w:val="333333"/>
          <w:sz w:val="24"/>
          <w:szCs w:val="24"/>
          <w:highlight w:val="none"/>
          <w:lang w:val="en-US" w:eastAsia="zh-CN"/>
        </w:rPr>
        <w:t>包含但不限于服务承诺、优惠承诺等内容。</w:t>
      </w:r>
    </w:p>
    <w:p w14:paraId="5B6EE46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eastAsia="宋体" w:cs="宋体"/>
          <w:b/>
          <w:bCs/>
          <w:color w:val="333333"/>
          <w:sz w:val="24"/>
          <w:szCs w:val="24"/>
          <w:highlight w:val="none"/>
          <w:lang w:val="zh-CN"/>
        </w:rPr>
        <w:t>，不得</w:t>
      </w:r>
      <w:r>
        <w:rPr>
          <w:rFonts w:hint="eastAsia" w:ascii="宋体" w:hAnsi="宋体" w:cs="宋体"/>
          <w:b/>
          <w:bCs/>
          <w:color w:val="333333"/>
          <w:sz w:val="24"/>
          <w:szCs w:val="24"/>
          <w:highlight w:val="none"/>
          <w:lang w:val="en-US" w:eastAsia="zh-CN"/>
        </w:rPr>
        <w:t>缺少、</w:t>
      </w:r>
      <w:r>
        <w:rPr>
          <w:rFonts w:hint="eastAsia" w:ascii="宋体" w:hAnsi="宋体" w:eastAsia="宋体" w:cs="宋体"/>
          <w:b/>
          <w:bCs/>
          <w:color w:val="333333"/>
          <w:sz w:val="24"/>
          <w:szCs w:val="24"/>
          <w:highlight w:val="none"/>
          <w:lang w:val="zh-CN"/>
        </w:rPr>
        <w:t>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0"/>
        <w:widowControl w:val="0"/>
        <w:numPr>
          <w:ilvl w:val="0"/>
          <w:numId w:val="0"/>
        </w:numPr>
        <w:jc w:val="center"/>
        <w:rPr>
          <w:rFonts w:hint="eastAsia" w:ascii="宋体" w:hAnsi="宋体" w:eastAsia="宋体" w:cs="宋体"/>
          <w:sz w:val="24"/>
          <w:szCs w:val="24"/>
          <w:highlight w:val="none"/>
          <w:lang w:val="en-US" w:eastAsia="zh-CN"/>
        </w:rPr>
      </w:pPr>
    </w:p>
    <w:p w14:paraId="15D699F9">
      <w:pPr>
        <w:pStyle w:val="30"/>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八</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2"/>
        <w:spacing w:line="480" w:lineRule="auto"/>
        <w:ind w:left="-538" w:leftChars="-256" w:firstLine="616" w:firstLineChars="257"/>
        <w:jc w:val="center"/>
        <w:rPr>
          <w:rFonts w:hint="eastAsia" w:hAnsi="宋体"/>
          <w:bCs/>
          <w:color w:val="auto"/>
          <w:szCs w:val="24"/>
          <w:highlight w:val="none"/>
        </w:rPr>
      </w:pPr>
    </w:p>
    <w:p w14:paraId="293117E3">
      <w:pPr>
        <w:pStyle w:val="32"/>
        <w:spacing w:line="480" w:lineRule="auto"/>
        <w:ind w:left="-538" w:leftChars="-256" w:firstLine="616" w:firstLineChars="257"/>
        <w:jc w:val="center"/>
        <w:rPr>
          <w:rFonts w:hint="eastAsia" w:hAnsi="宋体"/>
          <w:bCs/>
          <w:color w:val="auto"/>
          <w:szCs w:val="24"/>
          <w:highlight w:val="none"/>
        </w:rPr>
      </w:pPr>
    </w:p>
    <w:p w14:paraId="60E8378C">
      <w:pPr>
        <w:pStyle w:val="32"/>
        <w:spacing w:line="480" w:lineRule="auto"/>
        <w:ind w:left="-538" w:leftChars="-256" w:firstLine="616" w:firstLineChars="257"/>
        <w:jc w:val="center"/>
        <w:rPr>
          <w:rFonts w:hint="eastAsia" w:hAnsi="宋体"/>
          <w:bCs/>
          <w:color w:val="auto"/>
          <w:szCs w:val="24"/>
          <w:highlight w:val="none"/>
        </w:rPr>
      </w:pPr>
    </w:p>
    <w:p w14:paraId="476A5FE1">
      <w:pPr>
        <w:pStyle w:val="32"/>
        <w:spacing w:line="480" w:lineRule="auto"/>
        <w:ind w:left="-538" w:leftChars="-256" w:firstLine="616" w:firstLineChars="257"/>
        <w:jc w:val="center"/>
        <w:rPr>
          <w:rFonts w:hint="eastAsia" w:hAnsi="宋体"/>
          <w:bCs/>
          <w:color w:val="auto"/>
          <w:szCs w:val="24"/>
          <w:highlight w:val="none"/>
        </w:rPr>
      </w:pPr>
    </w:p>
    <w:p w14:paraId="45A2D6E3">
      <w:pPr>
        <w:pStyle w:val="32"/>
        <w:spacing w:line="480" w:lineRule="auto"/>
        <w:ind w:left="-538" w:leftChars="-256" w:firstLine="616" w:firstLineChars="257"/>
        <w:jc w:val="center"/>
        <w:rPr>
          <w:rFonts w:hint="eastAsia" w:hAnsi="宋体"/>
          <w:bCs/>
          <w:color w:val="auto"/>
          <w:szCs w:val="24"/>
          <w:highlight w:val="none"/>
        </w:rPr>
      </w:pPr>
    </w:p>
    <w:p w14:paraId="1010D7B1">
      <w:pPr>
        <w:pStyle w:val="32"/>
        <w:spacing w:line="480" w:lineRule="auto"/>
        <w:ind w:left="-538" w:leftChars="-256" w:firstLine="616" w:firstLineChars="257"/>
        <w:jc w:val="center"/>
        <w:rPr>
          <w:rFonts w:hint="eastAsia" w:hAnsi="宋体"/>
          <w:bCs/>
          <w:color w:val="auto"/>
          <w:szCs w:val="24"/>
          <w:highlight w:val="none"/>
        </w:rPr>
      </w:pPr>
    </w:p>
    <w:p w14:paraId="42928EE1">
      <w:pPr>
        <w:pStyle w:val="32"/>
        <w:spacing w:line="480" w:lineRule="auto"/>
        <w:ind w:left="-538" w:leftChars="-256" w:firstLine="616" w:firstLineChars="257"/>
        <w:jc w:val="center"/>
        <w:rPr>
          <w:rFonts w:hint="eastAsia" w:hAnsi="宋体"/>
          <w:bCs/>
          <w:color w:val="auto"/>
          <w:szCs w:val="24"/>
          <w:highlight w:val="none"/>
        </w:rPr>
      </w:pPr>
    </w:p>
    <w:p w14:paraId="77DBDC48">
      <w:pPr>
        <w:pStyle w:val="32"/>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0"/>
        <w:widowControl w:val="0"/>
        <w:numPr>
          <w:ilvl w:val="0"/>
          <w:numId w:val="0"/>
        </w:numPr>
        <w:jc w:val="center"/>
        <w:rPr>
          <w:rFonts w:hint="default" w:ascii="宋体" w:cs="宋体"/>
          <w:szCs w:val="21"/>
          <w:highlight w:val="none"/>
          <w:lang w:val="en-US" w:eastAsia="zh-CN"/>
        </w:rPr>
      </w:pPr>
    </w:p>
    <w:p w14:paraId="7EC2C7FB">
      <w:pPr>
        <w:pStyle w:val="30"/>
        <w:ind w:firstLine="0" w:firstLineChars="0"/>
        <w:jc w:val="center"/>
        <w:rPr>
          <w:rFonts w:ascii="宋体" w:cs="宋体"/>
          <w:szCs w:val="21"/>
          <w:highlight w:val="none"/>
        </w:rPr>
      </w:pPr>
    </w:p>
    <w:p w14:paraId="4E99F69F">
      <w:pPr>
        <w:pStyle w:val="30"/>
        <w:ind w:firstLine="0" w:firstLineChars="0"/>
        <w:jc w:val="center"/>
        <w:rPr>
          <w:rFonts w:ascii="宋体" w:cs="宋体"/>
          <w:szCs w:val="21"/>
          <w:highlight w:val="none"/>
        </w:rPr>
      </w:pPr>
    </w:p>
    <w:p w14:paraId="6A3A8AEA">
      <w:pPr>
        <w:pStyle w:val="30"/>
        <w:ind w:firstLine="0" w:firstLineChars="0"/>
        <w:jc w:val="center"/>
        <w:rPr>
          <w:rFonts w:ascii="宋体" w:cs="宋体"/>
          <w:szCs w:val="21"/>
          <w:highlight w:val="none"/>
        </w:rPr>
      </w:pPr>
    </w:p>
    <w:p w14:paraId="37394D37">
      <w:pPr>
        <w:pStyle w:val="30"/>
        <w:ind w:firstLine="0" w:firstLineChars="0"/>
        <w:jc w:val="center"/>
        <w:rPr>
          <w:rFonts w:ascii="宋体" w:cs="宋体"/>
          <w:szCs w:val="21"/>
          <w:highlight w:val="none"/>
        </w:rPr>
      </w:pPr>
    </w:p>
    <w:p w14:paraId="35CE7189">
      <w:pPr>
        <w:pStyle w:val="30"/>
        <w:ind w:firstLine="0" w:firstLineChars="0"/>
        <w:jc w:val="center"/>
        <w:rPr>
          <w:rFonts w:ascii="宋体" w:cs="宋体"/>
          <w:szCs w:val="21"/>
          <w:highlight w:val="none"/>
        </w:rPr>
      </w:pPr>
    </w:p>
    <w:p w14:paraId="7D718559">
      <w:pPr>
        <w:pStyle w:val="30"/>
        <w:ind w:firstLine="0" w:firstLineChars="0"/>
        <w:jc w:val="center"/>
        <w:rPr>
          <w:rFonts w:ascii="宋体" w:cs="宋体"/>
          <w:szCs w:val="21"/>
          <w:highlight w:val="none"/>
        </w:rPr>
      </w:pPr>
    </w:p>
    <w:p w14:paraId="07CC2DD8">
      <w:pPr>
        <w:pStyle w:val="30"/>
        <w:ind w:firstLine="0" w:firstLineChars="0"/>
        <w:jc w:val="center"/>
        <w:rPr>
          <w:rFonts w:ascii="宋体" w:cs="宋体"/>
          <w:szCs w:val="21"/>
          <w:highlight w:val="none"/>
        </w:rPr>
      </w:pPr>
    </w:p>
    <w:p w14:paraId="0E2F7A53">
      <w:pPr>
        <w:pStyle w:val="30"/>
        <w:ind w:firstLine="0" w:firstLineChars="0"/>
        <w:jc w:val="center"/>
        <w:rPr>
          <w:rFonts w:ascii="宋体" w:cs="宋体"/>
          <w:szCs w:val="21"/>
          <w:highlight w:val="none"/>
        </w:rPr>
      </w:pPr>
    </w:p>
    <w:p w14:paraId="2CCFE12E">
      <w:pPr>
        <w:pStyle w:val="30"/>
        <w:ind w:firstLine="0" w:firstLineChars="0"/>
        <w:jc w:val="center"/>
        <w:rPr>
          <w:rFonts w:ascii="宋体" w:cs="宋体"/>
          <w:szCs w:val="21"/>
          <w:highlight w:val="none"/>
        </w:rPr>
      </w:pPr>
    </w:p>
    <w:p w14:paraId="6573B87F">
      <w:pPr>
        <w:pStyle w:val="30"/>
        <w:ind w:firstLine="0" w:firstLineChars="0"/>
        <w:jc w:val="center"/>
        <w:rPr>
          <w:rFonts w:ascii="宋体" w:cs="宋体"/>
          <w:szCs w:val="21"/>
          <w:highlight w:val="none"/>
        </w:rPr>
      </w:pPr>
    </w:p>
    <w:p w14:paraId="53A13BC7">
      <w:pPr>
        <w:pStyle w:val="30"/>
        <w:ind w:firstLine="0" w:firstLineChars="0"/>
        <w:jc w:val="center"/>
        <w:rPr>
          <w:rFonts w:ascii="宋体" w:cs="宋体"/>
          <w:szCs w:val="21"/>
          <w:highlight w:val="none"/>
        </w:rPr>
      </w:pPr>
    </w:p>
    <w:p w14:paraId="442F716C">
      <w:pPr>
        <w:pStyle w:val="30"/>
        <w:ind w:firstLine="0" w:firstLineChars="0"/>
        <w:jc w:val="center"/>
        <w:rPr>
          <w:rFonts w:ascii="宋体" w:cs="宋体"/>
          <w:szCs w:val="21"/>
          <w:highlight w:val="none"/>
        </w:rPr>
      </w:pPr>
    </w:p>
    <w:p w14:paraId="5C382FB0">
      <w:pPr>
        <w:pStyle w:val="30"/>
        <w:ind w:firstLine="0" w:firstLineChars="0"/>
        <w:jc w:val="center"/>
        <w:rPr>
          <w:rFonts w:ascii="宋体" w:cs="宋体"/>
          <w:szCs w:val="21"/>
          <w:highlight w:val="none"/>
        </w:rPr>
      </w:pPr>
    </w:p>
    <w:p w14:paraId="4D8F1B8A">
      <w:pPr>
        <w:pStyle w:val="30"/>
        <w:ind w:firstLine="0" w:firstLineChars="0"/>
        <w:jc w:val="center"/>
        <w:rPr>
          <w:rFonts w:ascii="宋体" w:cs="宋体"/>
          <w:szCs w:val="21"/>
          <w:highlight w:val="none"/>
        </w:rPr>
      </w:pPr>
    </w:p>
    <w:p w14:paraId="06AC1A56">
      <w:pPr>
        <w:pStyle w:val="30"/>
        <w:ind w:firstLine="0" w:firstLineChars="0"/>
        <w:jc w:val="center"/>
        <w:rPr>
          <w:rFonts w:ascii="宋体" w:cs="宋体"/>
          <w:szCs w:val="21"/>
          <w:highlight w:val="none"/>
        </w:rPr>
      </w:pPr>
    </w:p>
    <w:p w14:paraId="16D428DE">
      <w:pPr>
        <w:pStyle w:val="30"/>
        <w:ind w:firstLine="0" w:firstLineChars="0"/>
        <w:jc w:val="center"/>
        <w:rPr>
          <w:rFonts w:ascii="宋体" w:cs="宋体"/>
          <w:szCs w:val="21"/>
          <w:highlight w:val="none"/>
        </w:rPr>
      </w:pPr>
    </w:p>
    <w:p w14:paraId="54A845BB">
      <w:pPr>
        <w:pStyle w:val="30"/>
        <w:ind w:firstLine="0" w:firstLineChars="0"/>
        <w:jc w:val="both"/>
        <w:rPr>
          <w:rFonts w:ascii="宋体" w:cs="宋体"/>
          <w:szCs w:val="21"/>
          <w:highlight w:val="none"/>
        </w:rPr>
      </w:pPr>
    </w:p>
    <w:sectPr>
      <w:footerReference r:id="rId5"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EB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8B5D0"/>
    <w:multiLevelType w:val="singleLevel"/>
    <w:tmpl w:val="8848B5D0"/>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4800D449"/>
    <w:multiLevelType w:val="singleLevel"/>
    <w:tmpl w:val="4800D44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175C9"/>
    <w:rsid w:val="00D97AE6"/>
    <w:rsid w:val="00DC291C"/>
    <w:rsid w:val="00DE5997"/>
    <w:rsid w:val="00FC39D2"/>
    <w:rsid w:val="011D4691"/>
    <w:rsid w:val="01974884"/>
    <w:rsid w:val="02A03E2E"/>
    <w:rsid w:val="02BA6D01"/>
    <w:rsid w:val="030565CB"/>
    <w:rsid w:val="03976170"/>
    <w:rsid w:val="03B34D8A"/>
    <w:rsid w:val="03D348AC"/>
    <w:rsid w:val="04026F36"/>
    <w:rsid w:val="0419413A"/>
    <w:rsid w:val="04320219"/>
    <w:rsid w:val="04473600"/>
    <w:rsid w:val="045D4134"/>
    <w:rsid w:val="04650B22"/>
    <w:rsid w:val="04A101A3"/>
    <w:rsid w:val="04AA2BE2"/>
    <w:rsid w:val="04C1540A"/>
    <w:rsid w:val="052F7B7C"/>
    <w:rsid w:val="05760640"/>
    <w:rsid w:val="061E4834"/>
    <w:rsid w:val="06471FDD"/>
    <w:rsid w:val="06C604EA"/>
    <w:rsid w:val="0767229E"/>
    <w:rsid w:val="07B11460"/>
    <w:rsid w:val="07B76CEE"/>
    <w:rsid w:val="07E43A81"/>
    <w:rsid w:val="07F901A3"/>
    <w:rsid w:val="084A0EA6"/>
    <w:rsid w:val="0869623A"/>
    <w:rsid w:val="08A24CBB"/>
    <w:rsid w:val="098C48BA"/>
    <w:rsid w:val="0A2C3C45"/>
    <w:rsid w:val="0A8E1F88"/>
    <w:rsid w:val="0AAB1104"/>
    <w:rsid w:val="0AAC68B2"/>
    <w:rsid w:val="0B0B35D9"/>
    <w:rsid w:val="0B555CEB"/>
    <w:rsid w:val="0BB305CD"/>
    <w:rsid w:val="0C6701FD"/>
    <w:rsid w:val="0CB47CA0"/>
    <w:rsid w:val="0D355C88"/>
    <w:rsid w:val="0DF2626F"/>
    <w:rsid w:val="0E5A1497"/>
    <w:rsid w:val="0E8D2557"/>
    <w:rsid w:val="0ED2440E"/>
    <w:rsid w:val="0EEB1D0A"/>
    <w:rsid w:val="0F81412F"/>
    <w:rsid w:val="0FF56606"/>
    <w:rsid w:val="10C7166C"/>
    <w:rsid w:val="10E074DB"/>
    <w:rsid w:val="112C7442"/>
    <w:rsid w:val="11C7649C"/>
    <w:rsid w:val="12435D4E"/>
    <w:rsid w:val="129B7B23"/>
    <w:rsid w:val="133D33A7"/>
    <w:rsid w:val="134F4C56"/>
    <w:rsid w:val="13D260F8"/>
    <w:rsid w:val="13FA68E0"/>
    <w:rsid w:val="14382F65"/>
    <w:rsid w:val="146D5582"/>
    <w:rsid w:val="14836404"/>
    <w:rsid w:val="14BC5944"/>
    <w:rsid w:val="15CB7091"/>
    <w:rsid w:val="15E80A37"/>
    <w:rsid w:val="16132A43"/>
    <w:rsid w:val="168B2E32"/>
    <w:rsid w:val="16A91EF8"/>
    <w:rsid w:val="170B5F46"/>
    <w:rsid w:val="17295B12"/>
    <w:rsid w:val="173D4205"/>
    <w:rsid w:val="1762400A"/>
    <w:rsid w:val="178C784F"/>
    <w:rsid w:val="17936E30"/>
    <w:rsid w:val="17DE3E23"/>
    <w:rsid w:val="180B1D8E"/>
    <w:rsid w:val="1824217E"/>
    <w:rsid w:val="182643EE"/>
    <w:rsid w:val="18E436BB"/>
    <w:rsid w:val="19127B31"/>
    <w:rsid w:val="19A266CB"/>
    <w:rsid w:val="1A4127AD"/>
    <w:rsid w:val="1AD67034"/>
    <w:rsid w:val="1BB76AC9"/>
    <w:rsid w:val="1BF946E9"/>
    <w:rsid w:val="1C1442B7"/>
    <w:rsid w:val="1D0F7157"/>
    <w:rsid w:val="1DC8593B"/>
    <w:rsid w:val="1DD07851"/>
    <w:rsid w:val="1DF22493"/>
    <w:rsid w:val="1EA77665"/>
    <w:rsid w:val="1F221187"/>
    <w:rsid w:val="1F303B22"/>
    <w:rsid w:val="1F540DDE"/>
    <w:rsid w:val="1FED72F9"/>
    <w:rsid w:val="1FF57F5C"/>
    <w:rsid w:val="21566699"/>
    <w:rsid w:val="215C0A7C"/>
    <w:rsid w:val="21EB1A9C"/>
    <w:rsid w:val="22636EE2"/>
    <w:rsid w:val="22981942"/>
    <w:rsid w:val="229F23FC"/>
    <w:rsid w:val="22CB6CB0"/>
    <w:rsid w:val="22FC1980"/>
    <w:rsid w:val="23280599"/>
    <w:rsid w:val="23780CBF"/>
    <w:rsid w:val="23A26978"/>
    <w:rsid w:val="24C4749D"/>
    <w:rsid w:val="24DA152F"/>
    <w:rsid w:val="251610A0"/>
    <w:rsid w:val="25384AFE"/>
    <w:rsid w:val="255B3C04"/>
    <w:rsid w:val="25AE20BB"/>
    <w:rsid w:val="2603796E"/>
    <w:rsid w:val="26093577"/>
    <w:rsid w:val="26A2016B"/>
    <w:rsid w:val="26BF53D0"/>
    <w:rsid w:val="27FE4556"/>
    <w:rsid w:val="2879797C"/>
    <w:rsid w:val="29284B1D"/>
    <w:rsid w:val="294C5571"/>
    <w:rsid w:val="2A495A74"/>
    <w:rsid w:val="2AB20E6B"/>
    <w:rsid w:val="2B0471A2"/>
    <w:rsid w:val="2B8430AF"/>
    <w:rsid w:val="2BA47406"/>
    <w:rsid w:val="2C0733AA"/>
    <w:rsid w:val="2C0E7C49"/>
    <w:rsid w:val="2CE33F5E"/>
    <w:rsid w:val="2CE35D0C"/>
    <w:rsid w:val="2D856DA1"/>
    <w:rsid w:val="2D870D8D"/>
    <w:rsid w:val="2DB63777"/>
    <w:rsid w:val="2DDD0FD4"/>
    <w:rsid w:val="2DFB0E33"/>
    <w:rsid w:val="2E03208E"/>
    <w:rsid w:val="2E6863AD"/>
    <w:rsid w:val="2E78040C"/>
    <w:rsid w:val="2EE04EF4"/>
    <w:rsid w:val="2F9B0B20"/>
    <w:rsid w:val="2FDE0A0C"/>
    <w:rsid w:val="303C2C58"/>
    <w:rsid w:val="30526F2D"/>
    <w:rsid w:val="30D8545C"/>
    <w:rsid w:val="30F718D2"/>
    <w:rsid w:val="32480586"/>
    <w:rsid w:val="32FA33E2"/>
    <w:rsid w:val="33115D8F"/>
    <w:rsid w:val="33270FFF"/>
    <w:rsid w:val="3381154C"/>
    <w:rsid w:val="33D71052"/>
    <w:rsid w:val="357C033B"/>
    <w:rsid w:val="36080591"/>
    <w:rsid w:val="36B70340"/>
    <w:rsid w:val="376C500E"/>
    <w:rsid w:val="37A602B6"/>
    <w:rsid w:val="38BB18EB"/>
    <w:rsid w:val="391F631E"/>
    <w:rsid w:val="397C1C5A"/>
    <w:rsid w:val="399552B8"/>
    <w:rsid w:val="399F50E1"/>
    <w:rsid w:val="39F42EB7"/>
    <w:rsid w:val="39F71049"/>
    <w:rsid w:val="39F856D1"/>
    <w:rsid w:val="3A094EC7"/>
    <w:rsid w:val="3A3213ED"/>
    <w:rsid w:val="3A5F5F6F"/>
    <w:rsid w:val="3B3059DF"/>
    <w:rsid w:val="3BB34390"/>
    <w:rsid w:val="3BD038FF"/>
    <w:rsid w:val="3BD83E3D"/>
    <w:rsid w:val="3BE948B2"/>
    <w:rsid w:val="3D453E79"/>
    <w:rsid w:val="3DE43692"/>
    <w:rsid w:val="3E88700E"/>
    <w:rsid w:val="3EAD09F5"/>
    <w:rsid w:val="3FCE5FBC"/>
    <w:rsid w:val="3FEA4CFC"/>
    <w:rsid w:val="40051BF8"/>
    <w:rsid w:val="400D10B2"/>
    <w:rsid w:val="403E413B"/>
    <w:rsid w:val="405E3BCF"/>
    <w:rsid w:val="407055D6"/>
    <w:rsid w:val="411E510D"/>
    <w:rsid w:val="412038E9"/>
    <w:rsid w:val="41D37AFA"/>
    <w:rsid w:val="42484966"/>
    <w:rsid w:val="426B25D4"/>
    <w:rsid w:val="42703746"/>
    <w:rsid w:val="42B519E9"/>
    <w:rsid w:val="42C6151D"/>
    <w:rsid w:val="432664FB"/>
    <w:rsid w:val="43A442C6"/>
    <w:rsid w:val="43D91523"/>
    <w:rsid w:val="43F73885"/>
    <w:rsid w:val="44085352"/>
    <w:rsid w:val="44437E31"/>
    <w:rsid w:val="445A645C"/>
    <w:rsid w:val="44A973E3"/>
    <w:rsid w:val="4561628F"/>
    <w:rsid w:val="45725A27"/>
    <w:rsid w:val="45B94D73"/>
    <w:rsid w:val="466E2692"/>
    <w:rsid w:val="46BB7E19"/>
    <w:rsid w:val="46D0453B"/>
    <w:rsid w:val="46E44703"/>
    <w:rsid w:val="480037BE"/>
    <w:rsid w:val="48393F29"/>
    <w:rsid w:val="48517B76"/>
    <w:rsid w:val="48710218"/>
    <w:rsid w:val="48E13021"/>
    <w:rsid w:val="48EA3B26"/>
    <w:rsid w:val="49382AE4"/>
    <w:rsid w:val="49917942"/>
    <w:rsid w:val="49CD76D0"/>
    <w:rsid w:val="49EB6F4A"/>
    <w:rsid w:val="4ADA55B0"/>
    <w:rsid w:val="4B091138"/>
    <w:rsid w:val="4B1D0463"/>
    <w:rsid w:val="4B6B3D7C"/>
    <w:rsid w:val="4B6C26CB"/>
    <w:rsid w:val="4BAB1C93"/>
    <w:rsid w:val="4C6D0D60"/>
    <w:rsid w:val="4CCE2312"/>
    <w:rsid w:val="4CEF2724"/>
    <w:rsid w:val="4D61085B"/>
    <w:rsid w:val="4D8B1D7C"/>
    <w:rsid w:val="4DA77104"/>
    <w:rsid w:val="4F09428B"/>
    <w:rsid w:val="4FDD0E7B"/>
    <w:rsid w:val="4FE13ED5"/>
    <w:rsid w:val="509318E3"/>
    <w:rsid w:val="50BA5154"/>
    <w:rsid w:val="50BB187B"/>
    <w:rsid w:val="50E25DFE"/>
    <w:rsid w:val="51E011C4"/>
    <w:rsid w:val="530E3B10"/>
    <w:rsid w:val="535449BE"/>
    <w:rsid w:val="537D1635"/>
    <w:rsid w:val="53881D7C"/>
    <w:rsid w:val="53BB0720"/>
    <w:rsid w:val="53DA1367"/>
    <w:rsid w:val="54D779D8"/>
    <w:rsid w:val="553700F3"/>
    <w:rsid w:val="55794DCA"/>
    <w:rsid w:val="559700CD"/>
    <w:rsid w:val="55B20DA6"/>
    <w:rsid w:val="55B5014F"/>
    <w:rsid w:val="55D83684"/>
    <w:rsid w:val="56004989"/>
    <w:rsid w:val="56665134"/>
    <w:rsid w:val="578A0EF5"/>
    <w:rsid w:val="57F71AD8"/>
    <w:rsid w:val="586631C9"/>
    <w:rsid w:val="586E407C"/>
    <w:rsid w:val="591075D9"/>
    <w:rsid w:val="59B408F1"/>
    <w:rsid w:val="5A0C50C2"/>
    <w:rsid w:val="5A8A5C34"/>
    <w:rsid w:val="5AEA4594"/>
    <w:rsid w:val="5B0E5D3C"/>
    <w:rsid w:val="5C5A1A53"/>
    <w:rsid w:val="5C9D16DC"/>
    <w:rsid w:val="5CA50038"/>
    <w:rsid w:val="5CB305FC"/>
    <w:rsid w:val="5D2378DB"/>
    <w:rsid w:val="5DA56542"/>
    <w:rsid w:val="5E585F2B"/>
    <w:rsid w:val="5E983F45"/>
    <w:rsid w:val="5EA13181"/>
    <w:rsid w:val="5ED27B19"/>
    <w:rsid w:val="60A800F7"/>
    <w:rsid w:val="614B4DF2"/>
    <w:rsid w:val="61903065"/>
    <w:rsid w:val="624B638D"/>
    <w:rsid w:val="626A3C89"/>
    <w:rsid w:val="62733632"/>
    <w:rsid w:val="62A9228E"/>
    <w:rsid w:val="632C4DC5"/>
    <w:rsid w:val="63955BDB"/>
    <w:rsid w:val="63A12BF9"/>
    <w:rsid w:val="641066DF"/>
    <w:rsid w:val="643D7EDA"/>
    <w:rsid w:val="64460353"/>
    <w:rsid w:val="64574D7B"/>
    <w:rsid w:val="647B7FFD"/>
    <w:rsid w:val="64C2523E"/>
    <w:rsid w:val="64F55778"/>
    <w:rsid w:val="660231D2"/>
    <w:rsid w:val="66756CCD"/>
    <w:rsid w:val="669E0C34"/>
    <w:rsid w:val="66C52E88"/>
    <w:rsid w:val="66D76745"/>
    <w:rsid w:val="66E30DC8"/>
    <w:rsid w:val="69C04704"/>
    <w:rsid w:val="69DD7064"/>
    <w:rsid w:val="6A0D758C"/>
    <w:rsid w:val="6A5A065B"/>
    <w:rsid w:val="6A655A1D"/>
    <w:rsid w:val="6AC95EDC"/>
    <w:rsid w:val="6B056872"/>
    <w:rsid w:val="6B0C3961"/>
    <w:rsid w:val="6B1C5B5B"/>
    <w:rsid w:val="6B74334D"/>
    <w:rsid w:val="6B8579B3"/>
    <w:rsid w:val="6C156E9B"/>
    <w:rsid w:val="6CE838C6"/>
    <w:rsid w:val="6D09406B"/>
    <w:rsid w:val="6D697F97"/>
    <w:rsid w:val="6DC7479F"/>
    <w:rsid w:val="6E526003"/>
    <w:rsid w:val="6E755ABD"/>
    <w:rsid w:val="6E942999"/>
    <w:rsid w:val="6F0A731D"/>
    <w:rsid w:val="705B5C66"/>
    <w:rsid w:val="7096451F"/>
    <w:rsid w:val="71A04BC0"/>
    <w:rsid w:val="71B115E4"/>
    <w:rsid w:val="724A0B58"/>
    <w:rsid w:val="727238ED"/>
    <w:rsid w:val="728C1627"/>
    <w:rsid w:val="72D05810"/>
    <w:rsid w:val="73041B05"/>
    <w:rsid w:val="737A29C8"/>
    <w:rsid w:val="737C7D3B"/>
    <w:rsid w:val="73AB20A5"/>
    <w:rsid w:val="73C65172"/>
    <w:rsid w:val="73CF2113"/>
    <w:rsid w:val="740C2D72"/>
    <w:rsid w:val="741A29F1"/>
    <w:rsid w:val="74244C1C"/>
    <w:rsid w:val="74A64302"/>
    <w:rsid w:val="74DB35C2"/>
    <w:rsid w:val="74E569A0"/>
    <w:rsid w:val="750C27BD"/>
    <w:rsid w:val="75584146"/>
    <w:rsid w:val="75C86E1A"/>
    <w:rsid w:val="75EB6560"/>
    <w:rsid w:val="76375D4D"/>
    <w:rsid w:val="76AA2A57"/>
    <w:rsid w:val="76FD4590"/>
    <w:rsid w:val="77070231"/>
    <w:rsid w:val="77476464"/>
    <w:rsid w:val="77B462F6"/>
    <w:rsid w:val="78AA0A59"/>
    <w:rsid w:val="78CE0040"/>
    <w:rsid w:val="78E8666B"/>
    <w:rsid w:val="78F148D9"/>
    <w:rsid w:val="796919FF"/>
    <w:rsid w:val="79C83610"/>
    <w:rsid w:val="7A340F22"/>
    <w:rsid w:val="7A6535D9"/>
    <w:rsid w:val="7A674B56"/>
    <w:rsid w:val="7A801A82"/>
    <w:rsid w:val="7AB94117"/>
    <w:rsid w:val="7B0E55E8"/>
    <w:rsid w:val="7B17735B"/>
    <w:rsid w:val="7B356567"/>
    <w:rsid w:val="7B6D1699"/>
    <w:rsid w:val="7B963293"/>
    <w:rsid w:val="7BA23801"/>
    <w:rsid w:val="7C4902F7"/>
    <w:rsid w:val="7C574A54"/>
    <w:rsid w:val="7D7653AD"/>
    <w:rsid w:val="7DFF7A00"/>
    <w:rsid w:val="7E9E2AFA"/>
    <w:rsid w:val="7EA4047C"/>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Date"/>
    <w:basedOn w:val="1"/>
    <w:next w:val="1"/>
    <w:qFormat/>
    <w:uiPriority w:val="0"/>
    <w:pPr>
      <w:ind w:left="100" w:leftChars="2500"/>
    </w:p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3"/>
    <w:next w:val="13"/>
    <w:qFormat/>
    <w:uiPriority w:val="0"/>
    <w:pPr>
      <w:spacing w:line="312" w:lineRule="auto"/>
      <w:ind w:firstLine="420"/>
    </w:pPr>
  </w:style>
  <w:style w:type="paragraph" w:styleId="13">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00"/>
      <w:u w:val="none"/>
    </w:rPr>
  </w:style>
  <w:style w:type="character" w:customStyle="1" w:styleId="20">
    <w:name w:val="hover25"/>
    <w:basedOn w:val="16"/>
    <w:qFormat/>
    <w:uiPriority w:val="0"/>
  </w:style>
  <w:style w:type="character" w:customStyle="1" w:styleId="21">
    <w:name w:val="red"/>
    <w:basedOn w:val="16"/>
    <w:qFormat/>
    <w:uiPriority w:val="0"/>
    <w:rPr>
      <w:color w:val="FF0000"/>
      <w:sz w:val="18"/>
      <w:szCs w:val="18"/>
    </w:rPr>
  </w:style>
  <w:style w:type="character" w:customStyle="1" w:styleId="22">
    <w:name w:val="red1"/>
    <w:basedOn w:val="16"/>
    <w:qFormat/>
    <w:uiPriority w:val="0"/>
    <w:rPr>
      <w:color w:val="FF0000"/>
      <w:sz w:val="18"/>
      <w:szCs w:val="18"/>
    </w:rPr>
  </w:style>
  <w:style w:type="character" w:customStyle="1" w:styleId="23">
    <w:name w:val="red2"/>
    <w:basedOn w:val="16"/>
    <w:qFormat/>
    <w:uiPriority w:val="0"/>
    <w:rPr>
      <w:color w:val="CC0000"/>
    </w:rPr>
  </w:style>
  <w:style w:type="character" w:customStyle="1" w:styleId="24">
    <w:name w:val="red3"/>
    <w:basedOn w:val="16"/>
    <w:qFormat/>
    <w:uiPriority w:val="0"/>
    <w:rPr>
      <w:color w:val="FF0000"/>
    </w:rPr>
  </w:style>
  <w:style w:type="character" w:customStyle="1" w:styleId="25">
    <w:name w:val="green"/>
    <w:basedOn w:val="16"/>
    <w:qFormat/>
    <w:uiPriority w:val="0"/>
    <w:rPr>
      <w:color w:val="66AE00"/>
      <w:sz w:val="18"/>
      <w:szCs w:val="18"/>
    </w:rPr>
  </w:style>
  <w:style w:type="character" w:customStyle="1" w:styleId="26">
    <w:name w:val="green1"/>
    <w:basedOn w:val="16"/>
    <w:qFormat/>
    <w:uiPriority w:val="0"/>
    <w:rPr>
      <w:color w:val="66AE00"/>
      <w:sz w:val="18"/>
      <w:szCs w:val="18"/>
    </w:rPr>
  </w:style>
  <w:style w:type="character" w:customStyle="1" w:styleId="27">
    <w:name w:val="blue"/>
    <w:basedOn w:val="16"/>
    <w:qFormat/>
    <w:uiPriority w:val="0"/>
    <w:rPr>
      <w:color w:val="0371C6"/>
      <w:sz w:val="21"/>
      <w:szCs w:val="21"/>
    </w:rPr>
  </w:style>
  <w:style w:type="character" w:customStyle="1" w:styleId="28">
    <w:name w:val="right"/>
    <w:basedOn w:val="16"/>
    <w:qFormat/>
    <w:uiPriority w:val="0"/>
    <w:rPr>
      <w:color w:val="999999"/>
      <w:sz w:val="18"/>
      <w:szCs w:val="18"/>
    </w:rPr>
  </w:style>
  <w:style w:type="character" w:customStyle="1" w:styleId="29">
    <w:name w:val="gb-jt"/>
    <w:basedOn w:val="16"/>
    <w:qFormat/>
    <w:uiPriority w:val="0"/>
  </w:style>
  <w:style w:type="paragraph" w:customStyle="1" w:styleId="30">
    <w:name w:val="列出段落1"/>
    <w:basedOn w:val="1"/>
    <w:qFormat/>
    <w:uiPriority w:val="34"/>
    <w:pPr>
      <w:ind w:firstLine="420" w:firstLineChars="200"/>
    </w:pPr>
  </w:style>
  <w:style w:type="character" w:customStyle="1" w:styleId="31">
    <w:name w:val="标题 2 Char"/>
    <w:basedOn w:val="16"/>
    <w:link w:val="2"/>
    <w:qFormat/>
    <w:uiPriority w:val="0"/>
    <w:rPr>
      <w:rFonts w:ascii="Arial" w:hAnsi="Arial" w:eastAsia="黑体" w:cs="Times New Roman"/>
      <w:b/>
      <w:bCs/>
      <w:kern w:val="0"/>
      <w:sz w:val="32"/>
      <w:szCs w:val="32"/>
    </w:rPr>
  </w:style>
  <w:style w:type="paragraph" w:customStyle="1" w:styleId="32">
    <w:name w:val="正文文本缩进1"/>
    <w:basedOn w:val="1"/>
    <w:qFormat/>
    <w:uiPriority w:val="0"/>
    <w:pPr>
      <w:spacing w:line="360" w:lineRule="auto"/>
      <w:ind w:firstLine="480" w:firstLineChars="200"/>
    </w:pPr>
    <w:rPr>
      <w:rFonts w:ascii="宋体"/>
      <w:sz w:val="24"/>
    </w:rPr>
  </w:style>
  <w:style w:type="paragraph" w:customStyle="1" w:styleId="33">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4">
    <w:name w:val="日期1"/>
    <w:basedOn w:val="1"/>
    <w:next w:val="1"/>
    <w:qFormat/>
    <w:uiPriority w:val="0"/>
    <w:rPr>
      <w:sz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页眉 Char"/>
    <w:basedOn w:val="16"/>
    <w:link w:val="10"/>
    <w:qFormat/>
    <w:uiPriority w:val="0"/>
    <w:rPr>
      <w:rFonts w:ascii="Calibri" w:hAnsi="Calibri"/>
      <w:kern w:val="2"/>
      <w:sz w:val="18"/>
      <w:szCs w:val="18"/>
    </w:rPr>
  </w:style>
  <w:style w:type="character" w:customStyle="1" w:styleId="38">
    <w:name w:val="页脚 Char"/>
    <w:basedOn w:val="16"/>
    <w:link w:val="9"/>
    <w:qFormat/>
    <w:uiPriority w:val="0"/>
    <w:rPr>
      <w:rFonts w:ascii="Calibri" w:hAnsi="Calibri"/>
      <w:kern w:val="2"/>
      <w:sz w:val="18"/>
      <w:szCs w:val="18"/>
    </w:rPr>
  </w:style>
  <w:style w:type="character" w:customStyle="1" w:styleId="39">
    <w:name w:val="hover"/>
    <w:basedOn w:val="16"/>
    <w:qFormat/>
    <w:uiPriority w:val="0"/>
    <w:rPr>
      <w:shd w:val="clear" w:fill="DE3232"/>
    </w:rPr>
  </w:style>
  <w:style w:type="character" w:customStyle="1" w:styleId="40">
    <w:name w:val="hover1"/>
    <w:basedOn w:val="16"/>
    <w:qFormat/>
    <w:uiPriority w:val="0"/>
  </w:style>
  <w:style w:type="character" w:customStyle="1" w:styleId="41">
    <w:name w:val="hover2"/>
    <w:basedOn w:val="16"/>
    <w:qFormat/>
    <w:uiPriority w:val="0"/>
    <w:rPr>
      <w:color w:val="C30000"/>
      <w:u w:val="none"/>
    </w:rPr>
  </w:style>
  <w:style w:type="character" w:customStyle="1" w:styleId="42">
    <w:name w:val="hover3"/>
    <w:basedOn w:val="16"/>
    <w:qFormat/>
    <w:uiPriority w:val="0"/>
    <w:rPr>
      <w:color w:val="1A85D7"/>
    </w:rPr>
  </w:style>
  <w:style w:type="character" w:customStyle="1" w:styleId="43">
    <w:name w:val="hover4"/>
    <w:basedOn w:val="16"/>
    <w:qFormat/>
    <w:uiPriority w:val="0"/>
    <w:rPr>
      <w:color w:val="C30000"/>
    </w:rPr>
  </w:style>
  <w:style w:type="character" w:customStyle="1" w:styleId="44">
    <w:name w:val="hover5"/>
    <w:basedOn w:val="16"/>
    <w:qFormat/>
    <w:uiPriority w:val="0"/>
    <w:rPr>
      <w:color w:val="C30000"/>
    </w:rPr>
  </w:style>
  <w:style w:type="character" w:customStyle="1" w:styleId="45">
    <w:name w:val="credit"/>
    <w:basedOn w:val="16"/>
    <w:qFormat/>
    <w:uiPriority w:val="0"/>
    <w:rPr>
      <w:sz w:val="18"/>
      <w:szCs w:val="18"/>
    </w:rPr>
  </w:style>
  <w:style w:type="character" w:customStyle="1" w:styleId="46">
    <w:name w:val="after"/>
    <w:basedOn w:val="16"/>
    <w:qFormat/>
    <w:uiPriority w:val="0"/>
    <w:rPr>
      <w:bdr w:val="dashed" w:color="auto" w:sz="48" w:space="0"/>
    </w:rPr>
  </w:style>
  <w:style w:type="character" w:customStyle="1" w:styleId="47">
    <w:name w:val="after1"/>
    <w:basedOn w:val="16"/>
    <w:qFormat/>
    <w:uiPriority w:val="0"/>
  </w:style>
  <w:style w:type="character" w:customStyle="1" w:styleId="48">
    <w:name w:val="after2"/>
    <w:basedOn w:val="16"/>
    <w:qFormat/>
    <w:uiPriority w:val="0"/>
  </w:style>
  <w:style w:type="character" w:customStyle="1" w:styleId="49">
    <w:name w:val="before1"/>
    <w:basedOn w:val="16"/>
    <w:qFormat/>
    <w:uiPriority w:val="0"/>
    <w:rPr>
      <w:bdr w:val="single" w:color="auto" w:sz="48" w:space="0"/>
    </w:rPr>
  </w:style>
  <w:style w:type="character" w:customStyle="1" w:styleId="50">
    <w:name w:val="before2"/>
    <w:basedOn w:val="16"/>
    <w:qFormat/>
    <w:uiPriority w:val="0"/>
    <w:rPr>
      <w:shd w:val="clear" w:fill="C30000"/>
    </w:rPr>
  </w:style>
  <w:style w:type="character" w:customStyle="1" w:styleId="51">
    <w:name w:val="before3"/>
    <w:basedOn w:val="16"/>
    <w:qFormat/>
    <w:uiPriority w:val="0"/>
  </w:style>
  <w:style w:type="character" w:customStyle="1" w:styleId="52">
    <w:name w:val="before4"/>
    <w:basedOn w:val="16"/>
    <w:qFormat/>
    <w:uiPriority w:val="0"/>
    <w:rPr>
      <w:rFonts w:hint="default" w:ascii="iconfontstat_1" w:hAnsi="iconfontstat_1" w:eastAsia="iconfontstat_1" w:cs="iconfontstat_1"/>
    </w:rPr>
  </w:style>
  <w:style w:type="character" w:customStyle="1" w:styleId="53">
    <w:name w:val="before5"/>
    <w:basedOn w:val="16"/>
    <w:qFormat/>
    <w:uiPriority w:val="0"/>
  </w:style>
  <w:style w:type="character" w:customStyle="1" w:styleId="54">
    <w:name w:val="before6"/>
    <w:basedOn w:val="16"/>
    <w:qFormat/>
    <w:uiPriority w:val="0"/>
  </w:style>
  <w:style w:type="character" w:customStyle="1" w:styleId="55">
    <w:name w:val="before7"/>
    <w:basedOn w:val="16"/>
    <w:qFormat/>
    <w:uiPriority w:val="0"/>
  </w:style>
  <w:style w:type="character" w:customStyle="1" w:styleId="56">
    <w:name w:val="before8"/>
    <w:basedOn w:val="16"/>
    <w:qFormat/>
    <w:uiPriority w:val="0"/>
  </w:style>
  <w:style w:type="character" w:customStyle="1" w:styleId="57">
    <w:name w:val="before9"/>
    <w:basedOn w:val="16"/>
    <w:qFormat/>
    <w:uiPriority w:val="0"/>
  </w:style>
  <w:style w:type="character" w:customStyle="1" w:styleId="58">
    <w:name w:val="before10"/>
    <w:basedOn w:val="16"/>
    <w:qFormat/>
    <w:uiPriority w:val="0"/>
  </w:style>
  <w:style w:type="character" w:customStyle="1" w:styleId="59">
    <w:name w:val="before11"/>
    <w:basedOn w:val="16"/>
    <w:qFormat/>
    <w:uiPriority w:val="0"/>
  </w:style>
  <w:style w:type="character" w:customStyle="1" w:styleId="60">
    <w:name w:val="before12"/>
    <w:basedOn w:val="16"/>
    <w:qFormat/>
    <w:uiPriority w:val="0"/>
  </w:style>
  <w:style w:type="character" w:customStyle="1" w:styleId="61">
    <w:name w:val="first-child"/>
    <w:basedOn w:val="16"/>
    <w:qFormat/>
    <w:uiPriority w:val="0"/>
    <w:rPr>
      <w:shd w:val="clear" w:fill="C30000"/>
    </w:rPr>
  </w:style>
  <w:style w:type="character" w:customStyle="1" w:styleId="62">
    <w:name w:val="first-child1"/>
    <w:basedOn w:val="16"/>
    <w:qFormat/>
    <w:uiPriority w:val="0"/>
  </w:style>
  <w:style w:type="character" w:customStyle="1" w:styleId="63">
    <w:name w:val="last-child"/>
    <w:basedOn w:val="16"/>
    <w:qFormat/>
    <w:uiPriority w:val="0"/>
  </w:style>
  <w:style w:type="character" w:customStyle="1" w:styleId="64">
    <w:name w:val="active2"/>
    <w:basedOn w:val="16"/>
    <w:qFormat/>
    <w:uiPriority w:val="0"/>
    <w:rPr>
      <w:color w:val="C30000"/>
      <w:bdr w:val="single" w:color="C30000" w:sz="6" w:space="0"/>
    </w:rPr>
  </w:style>
  <w:style w:type="paragraph" w:customStyle="1" w:styleId="65">
    <w:name w:val="BodyText1I"/>
    <w:basedOn w:val="66"/>
    <w:next w:val="68"/>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6">
    <w:name w:val="BodyText"/>
    <w:basedOn w:val="1"/>
    <w:next w:val="67"/>
    <w:qFormat/>
    <w:uiPriority w:val="0"/>
    <w:pPr>
      <w:spacing w:after="120"/>
      <w:jc w:val="both"/>
      <w:textAlignment w:val="baseline"/>
    </w:pPr>
  </w:style>
  <w:style w:type="paragraph" w:customStyle="1" w:styleId="67">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8">
    <w:name w:val="BodyText1I2"/>
    <w:basedOn w:val="69"/>
    <w:next w:val="8"/>
    <w:qFormat/>
    <w:uiPriority w:val="0"/>
    <w:pPr>
      <w:spacing w:after="120"/>
      <w:ind w:left="200" w:leftChars="200" w:firstLine="420" w:firstLineChars="200"/>
      <w:jc w:val="both"/>
      <w:textAlignment w:val="baseline"/>
    </w:pPr>
  </w:style>
  <w:style w:type="paragraph" w:customStyle="1" w:styleId="69">
    <w:name w:val="BodyTextIndent"/>
    <w:basedOn w:val="1"/>
    <w:next w:val="70"/>
    <w:qFormat/>
    <w:uiPriority w:val="0"/>
    <w:pPr>
      <w:spacing w:after="120"/>
      <w:ind w:left="200" w:leftChars="200"/>
      <w:jc w:val="both"/>
      <w:textAlignment w:val="baseline"/>
    </w:pPr>
  </w:style>
  <w:style w:type="paragraph" w:customStyle="1" w:styleId="70">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1">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1702</Words>
  <Characters>1842</Characters>
  <Lines>25</Lines>
  <Paragraphs>7</Paragraphs>
  <TotalTime>27</TotalTime>
  <ScaleCrop>false</ScaleCrop>
  <LinksUpToDate>false</LinksUpToDate>
  <CharactersWithSpaces>1892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ha_kwa</cp:lastModifiedBy>
  <cp:lastPrinted>2023-11-21T23:59:00Z</cp:lastPrinted>
  <dcterms:modified xsi:type="dcterms:W3CDTF">2025-12-19T10:13:29Z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FEC5372A0E1F498BA2A10422AB414D69_13</vt:lpwstr>
  </property>
  <property fmtid="{D5CDD505-2E9C-101B-9397-08002B2CF9AE}" pid="4" name="KSOTemplateDocerSaveRecord">
    <vt:lpwstr>eyJoZGlkIjoiMWI4YmY1MmM3NjY2YTgxYWI0YmM4YjUxN2ExYWM1ZmMiLCJ1c2VySWQiOiIzNjg2MTc3NzQifQ==</vt:lpwstr>
  </property>
</Properties>
</file>