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2002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0" w:firstLineChars="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附件1：</w:t>
      </w:r>
    </w:p>
    <w:p w14:paraId="48E5A44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标段一：分级诊疗合作点招商</w:t>
      </w:r>
    </w:p>
    <w:p w14:paraId="35D32EB1">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（一）合作背景与目标</w:t>
      </w:r>
    </w:p>
    <w:p w14:paraId="08199A9E">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国家明确要求互联网医院提供医疗服务应当符合分级诊疗相关规定，鼓励城市三级医院通过互联网医院与基层医疗卫生机构实现数据资源共享和业务协同，促进优质医疗资源下沉。</w:t>
      </w:r>
      <w:r>
        <w:rPr>
          <w:rFonts w:hint="eastAsia" w:ascii="Times New Roman" w:hAnsi="Times New Roman" w:eastAsia="仿宋_GB2312" w:cs="Times New Roman"/>
          <w:b w:val="0"/>
          <w:bCs w:val="0"/>
          <w:color w:val="auto"/>
          <w:sz w:val="32"/>
          <w:szCs w:val="32"/>
          <w:highlight w:val="none"/>
          <w:lang w:val="en-US" w:eastAsia="zh-CN"/>
        </w:rPr>
        <w:t>恒基药业公司运营的许昌市中心医院</w:t>
      </w:r>
      <w:r>
        <w:rPr>
          <w:rFonts w:hint="default" w:ascii="Times New Roman" w:hAnsi="Times New Roman" w:eastAsia="仿宋_GB2312" w:cs="Times New Roman"/>
          <w:b w:val="0"/>
          <w:bCs w:val="0"/>
          <w:color w:val="auto"/>
          <w:sz w:val="32"/>
          <w:szCs w:val="32"/>
          <w:highlight w:val="none"/>
          <w:lang w:val="en-US" w:eastAsia="zh-CN"/>
        </w:rPr>
        <w:t>互联网医院已具备在线问诊、电子病历、</w:t>
      </w:r>
      <w:r>
        <w:commentReference w:id="0"/>
      </w:r>
      <w:r>
        <w:rPr>
          <w:rFonts w:hint="eastAsia" w:ascii="Times New Roman" w:hAnsi="Times New Roman" w:eastAsia="仿宋_GB2312" w:cs="Times New Roman"/>
          <w:b w:val="0"/>
          <w:bCs w:val="0"/>
          <w:color w:val="auto"/>
          <w:sz w:val="32"/>
          <w:szCs w:val="32"/>
          <w:highlight w:val="none"/>
          <w:lang w:val="en-US" w:eastAsia="zh-CN"/>
        </w:rPr>
        <w:t>药品配送</w:t>
      </w:r>
      <w:r>
        <w:rPr>
          <w:rFonts w:hint="default" w:ascii="Times New Roman" w:hAnsi="Times New Roman" w:eastAsia="仿宋_GB2312" w:cs="Times New Roman"/>
          <w:b w:val="0"/>
          <w:bCs w:val="0"/>
          <w:color w:val="auto"/>
          <w:sz w:val="32"/>
          <w:szCs w:val="32"/>
          <w:highlight w:val="none"/>
          <w:lang w:val="en-US" w:eastAsia="zh-CN"/>
        </w:rPr>
        <w:t>、慢病管理等核心功能。为完善“线上复诊+线下就近服务”的闭环，亟需整合一批资质齐全、分布合理的基层医疗机构、连锁药店作为分级诊疗合作点，满足基层患者通过分级诊疗点与互联网医院医生问诊，实现预约检验检查、慢</w:t>
      </w:r>
      <w:r>
        <w:commentReference w:id="1"/>
      </w:r>
      <w:r>
        <w:rPr>
          <w:rFonts w:hint="eastAsia" w:ascii="Times New Roman" w:hAnsi="Times New Roman" w:eastAsia="仿宋_GB2312" w:cs="Times New Roman"/>
          <w:b w:val="0"/>
          <w:bCs w:val="0"/>
          <w:color w:val="auto"/>
          <w:sz w:val="32"/>
          <w:szCs w:val="32"/>
          <w:highlight w:val="none"/>
          <w:lang w:val="en-US" w:eastAsia="zh-CN"/>
        </w:rPr>
        <w:t>病</w:t>
      </w:r>
      <w:bookmarkStart w:id="0" w:name="_GoBack"/>
      <w:bookmarkEnd w:id="0"/>
      <w:r>
        <w:rPr>
          <w:rFonts w:hint="eastAsia" w:ascii="Times New Roman" w:hAnsi="Times New Roman" w:eastAsia="仿宋_GB2312" w:cs="Times New Roman"/>
          <w:b w:val="0"/>
          <w:bCs w:val="0"/>
          <w:color w:val="auto"/>
          <w:sz w:val="32"/>
          <w:szCs w:val="32"/>
          <w:highlight w:val="none"/>
          <w:lang w:val="en-US" w:eastAsia="zh-CN"/>
        </w:rPr>
        <w:t>续方</w:t>
      </w:r>
      <w:r>
        <w:rPr>
          <w:rFonts w:hint="default" w:ascii="Times New Roman" w:hAnsi="Times New Roman" w:eastAsia="仿宋_GB2312" w:cs="Times New Roman"/>
          <w:b w:val="0"/>
          <w:bCs w:val="0"/>
          <w:color w:val="auto"/>
          <w:sz w:val="32"/>
          <w:szCs w:val="32"/>
          <w:highlight w:val="none"/>
          <w:lang w:val="en-US" w:eastAsia="zh-CN"/>
        </w:rPr>
        <w:t>、慢病管理等服务要求。</w:t>
      </w:r>
    </w:p>
    <w:p w14:paraId="1C6C990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（二）合作内容</w:t>
      </w:r>
    </w:p>
    <w:p w14:paraId="7F48E07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1.预约检验检查服务：</w:t>
      </w:r>
      <w:r>
        <w:rPr>
          <w:rFonts w:hint="default" w:ascii="Times New Roman" w:hAnsi="Times New Roman" w:eastAsia="仿宋_GB2312" w:cs="Times New Roman"/>
          <w:b w:val="0"/>
          <w:bCs w:val="0"/>
          <w:color w:val="auto"/>
          <w:sz w:val="32"/>
          <w:szCs w:val="32"/>
          <w:highlight w:val="none"/>
          <w:lang w:val="en-US" w:eastAsia="zh-CN"/>
        </w:rPr>
        <w:t>为患者提供预约检验检查服务。</w:t>
      </w:r>
    </w:p>
    <w:p w14:paraId="19B0DC6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2.康复随访服务</w:t>
      </w:r>
      <w:r>
        <w:rPr>
          <w:rFonts w:hint="default" w:ascii="Times New Roman" w:hAnsi="Times New Roman" w:eastAsia="仿宋_GB2312" w:cs="Times New Roman"/>
          <w:b w:val="0"/>
          <w:bCs w:val="0"/>
          <w:color w:val="auto"/>
          <w:sz w:val="32"/>
          <w:szCs w:val="32"/>
          <w:highlight w:val="none"/>
          <w:lang w:val="en-US" w:eastAsia="zh-CN"/>
        </w:rPr>
        <w:t>：为</w:t>
      </w:r>
      <w:r>
        <w:rPr>
          <w:rFonts w:hint="eastAsia" w:ascii="Times New Roman" w:hAnsi="Times New Roman" w:eastAsia="仿宋_GB2312" w:cs="Times New Roman"/>
          <w:b w:val="0"/>
          <w:bCs w:val="0"/>
          <w:color w:val="auto"/>
          <w:sz w:val="32"/>
          <w:szCs w:val="32"/>
          <w:highlight w:val="none"/>
          <w:lang w:val="en-US" w:eastAsia="zh-CN"/>
        </w:rPr>
        <w:t>患者提供</w:t>
      </w:r>
      <w:r>
        <w:rPr>
          <w:rFonts w:hint="default" w:ascii="Times New Roman" w:hAnsi="Times New Roman" w:eastAsia="仿宋_GB2312" w:cs="Times New Roman"/>
          <w:b w:val="0"/>
          <w:bCs w:val="0"/>
          <w:color w:val="auto"/>
          <w:sz w:val="32"/>
          <w:szCs w:val="32"/>
          <w:highlight w:val="none"/>
          <w:lang w:val="en-US" w:eastAsia="zh-CN"/>
        </w:rPr>
        <w:t>健康随访、用药指导等服务。</w:t>
      </w:r>
    </w:p>
    <w:p w14:paraId="6553744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3.慢病管理服务</w:t>
      </w:r>
      <w:r>
        <w:rPr>
          <w:rFonts w:hint="default" w:ascii="Times New Roman" w:hAnsi="Times New Roman" w:eastAsia="仿宋_GB2312" w:cs="Times New Roman"/>
          <w:b w:val="0"/>
          <w:bCs w:val="0"/>
          <w:color w:val="auto"/>
          <w:sz w:val="32"/>
          <w:szCs w:val="32"/>
          <w:highlight w:val="none"/>
          <w:lang w:val="en-US" w:eastAsia="zh-CN"/>
        </w:rPr>
        <w:t>：为高血压、糖尿病等慢性病患者提供健康评估、生活方式指导、慢病</w:t>
      </w:r>
      <w:r>
        <w:rPr>
          <w:rFonts w:hint="eastAsia" w:ascii="Times New Roman" w:hAnsi="Times New Roman" w:eastAsia="仿宋_GB2312" w:cs="Times New Roman"/>
          <w:b w:val="0"/>
          <w:bCs w:val="0"/>
          <w:color w:val="auto"/>
          <w:sz w:val="32"/>
          <w:szCs w:val="32"/>
          <w:highlight w:val="none"/>
          <w:lang w:val="en-US" w:eastAsia="zh-CN"/>
        </w:rPr>
        <w:t>续方</w:t>
      </w:r>
      <w:r>
        <w:rPr>
          <w:rFonts w:hint="default" w:ascii="Times New Roman" w:hAnsi="Times New Roman" w:eastAsia="仿宋_GB2312" w:cs="Times New Roman"/>
          <w:b w:val="0"/>
          <w:bCs w:val="0"/>
          <w:color w:val="auto"/>
          <w:sz w:val="32"/>
          <w:szCs w:val="32"/>
          <w:highlight w:val="none"/>
          <w:lang w:val="en-US" w:eastAsia="zh-CN"/>
        </w:rPr>
        <w:t>等慢病管理服务。</w:t>
      </w:r>
    </w:p>
    <w:p w14:paraId="0525316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4.双向转诊服务：</w:t>
      </w:r>
      <w:r>
        <w:rPr>
          <w:rFonts w:hint="default" w:ascii="Times New Roman" w:hAnsi="Times New Roman" w:eastAsia="仿宋_GB2312" w:cs="Times New Roman"/>
          <w:b w:val="0"/>
          <w:bCs w:val="0"/>
          <w:color w:val="auto"/>
          <w:sz w:val="32"/>
          <w:szCs w:val="32"/>
          <w:highlight w:val="none"/>
          <w:lang w:val="en-US" w:eastAsia="zh-CN"/>
        </w:rPr>
        <w:t>同互联网医院建立双向转诊绿色通道，实现基层首诊、急慢分治、上下联动的分级诊疗</w:t>
      </w:r>
      <w:r>
        <w:rPr>
          <w:rFonts w:hint="eastAsia" w:ascii="Times New Roman" w:hAnsi="Times New Roman" w:eastAsia="仿宋_GB2312" w:cs="Times New Roman"/>
          <w:b w:val="0"/>
          <w:bCs w:val="0"/>
          <w:color w:val="auto"/>
          <w:sz w:val="32"/>
          <w:szCs w:val="32"/>
          <w:highlight w:val="none"/>
          <w:lang w:val="en-US" w:eastAsia="zh-CN"/>
        </w:rPr>
        <w:t>体系</w:t>
      </w:r>
      <w:r>
        <w:rPr>
          <w:rFonts w:hint="default" w:ascii="Times New Roman" w:hAnsi="Times New Roman" w:eastAsia="仿宋_GB2312" w:cs="Times New Roman"/>
          <w:b w:val="0"/>
          <w:bCs w:val="0"/>
          <w:color w:val="auto"/>
          <w:sz w:val="32"/>
          <w:szCs w:val="32"/>
          <w:highlight w:val="none"/>
          <w:lang w:val="en-US" w:eastAsia="zh-CN"/>
        </w:rPr>
        <w:t>。</w:t>
      </w:r>
    </w:p>
    <w:p w14:paraId="5ADF43BE">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（三）合作方资格条件</w:t>
      </w:r>
    </w:p>
    <w:p w14:paraId="5E127AD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1.基本资质</w:t>
      </w:r>
    </w:p>
    <w:p w14:paraId="4DB8641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（1）在中华人民共和国境内依法注册，依法取得《医疗机构执业许可证》或《药品经营许可证》或诊所备案凭证，且执业范围与拟承接的服务项目相匹配。</w:t>
      </w:r>
    </w:p>
    <w:p w14:paraId="2B272D2B">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（2）近三年（自公告发布之日起往前推算）在经营活动中无重大违法违规记录，未发生重大医疗安全事故，需提供卫健部门证明或书面承诺函。</w:t>
      </w:r>
    </w:p>
    <w:p w14:paraId="1E59D5E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（3）未被列入“信用中国”失信被执行人。</w:t>
      </w:r>
    </w:p>
    <w:p w14:paraId="7CC18010">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2.服务能力</w:t>
      </w:r>
    </w:p>
    <w:p w14:paraId="63722F86">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（1）在许昌市辖区内拥有固定的场所，具备开展相关诊疗服务的场地、设备及人员条件。</w:t>
      </w:r>
    </w:p>
    <w:p w14:paraId="43B5F60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（2）应配备具有相应资质的执业医师、护士、执业药师等卫生技术人员，以确保服务质量和医疗安全，前述人员的资质证明材料必须履行备案手续。</w:t>
      </w:r>
    </w:p>
    <w:p w14:paraId="2D2FD49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（3）承诺配合互联网医院线上问诊推广（每月诊疗点线上问诊不少于10例）。</w:t>
      </w:r>
    </w:p>
    <w:p w14:paraId="64F5712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val="en-US" w:eastAsia="zh-CN"/>
        </w:rPr>
        <w:t>应</w:t>
      </w:r>
      <w:r>
        <w:rPr>
          <w:rFonts w:hint="default" w:ascii="Times New Roman" w:hAnsi="Times New Roman" w:eastAsia="仿宋_GB2312" w:cs="Times New Roman"/>
          <w:b w:val="0"/>
          <w:bCs w:val="0"/>
          <w:color w:val="auto"/>
          <w:sz w:val="32"/>
          <w:szCs w:val="32"/>
          <w:highlight w:val="none"/>
          <w:lang w:val="en-US" w:eastAsia="zh-CN"/>
        </w:rPr>
        <w:t>具备处方审核、调配、复核的专业能力。</w:t>
      </w:r>
    </w:p>
    <w:p w14:paraId="67CD5E5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3.技术对接</w:t>
      </w:r>
    </w:p>
    <w:p w14:paraId="1EE14E8F">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愿意并能够配合互联网医院平台进行信息系统对接，实现服务订单接收、服务状态同步、结果回传等功能。</w:t>
      </w:r>
    </w:p>
    <w:p w14:paraId="344459B6">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4.合作意愿</w:t>
      </w:r>
    </w:p>
    <w:p w14:paraId="04152D2E">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（1）认同恒基药业发展理念，遵守许昌市相关政策法规，积极配合开展本地化业务。</w:t>
      </w:r>
    </w:p>
    <w:p w14:paraId="72CFCA5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（2）具备长期合作意识，承诺共同推进项目落地与持续运营。</w:t>
      </w:r>
    </w:p>
    <w:p w14:paraId="060F1DEE">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（四）报名材料</w:t>
      </w:r>
    </w:p>
    <w:p w14:paraId="3F81FF8B">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1.基本资料：《医疗机构执业许可证》或《药品经营许可证》或诊所备案凭证复印件、法定代表人身份证明（如授权他人，需提供授权委托书）、机构简介。</w:t>
      </w:r>
    </w:p>
    <w:p w14:paraId="3DC90A1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2.人员资质：执业医师、护士、执业药师等卫生技术人员的资格证书复印件。</w:t>
      </w:r>
    </w:p>
    <w:p w14:paraId="6212083B">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3.场所证明：执业场所的产权证明或租赁合同复印件。</w:t>
      </w:r>
    </w:p>
    <w:p w14:paraId="66428470">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4.信誉证明：近三年无重大违法违规记录及重大医疗安全事故的证明或书面承诺函；“信用中国”网站查询截图。</w:t>
      </w:r>
    </w:p>
    <w:p w14:paraId="7F6E7DA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5.服务方案：包括拟承接的服务项目、服务能力说明、质量控制措施等。</w:t>
      </w:r>
    </w:p>
    <w:p w14:paraId="108491EF">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6.以上报名材料均需加盖机构</w:t>
      </w:r>
      <w:r>
        <w:rPr>
          <w:rFonts w:hint="eastAsia" w:ascii="Times New Roman" w:hAnsi="Times New Roman" w:eastAsia="仿宋_GB2312" w:cs="Times New Roman"/>
          <w:b w:val="0"/>
          <w:bCs w:val="0"/>
          <w:color w:val="auto"/>
          <w:sz w:val="32"/>
          <w:szCs w:val="32"/>
          <w:highlight w:val="none"/>
          <w:lang w:val="en-US" w:eastAsia="zh-CN"/>
        </w:rPr>
        <w:t>、单位</w:t>
      </w:r>
      <w:r>
        <w:rPr>
          <w:rFonts w:hint="default" w:ascii="Times New Roman" w:hAnsi="Times New Roman" w:eastAsia="仿宋_GB2312" w:cs="Times New Roman"/>
          <w:b w:val="0"/>
          <w:bCs w:val="0"/>
          <w:color w:val="auto"/>
          <w:sz w:val="32"/>
          <w:szCs w:val="32"/>
          <w:highlight w:val="none"/>
          <w:lang w:val="en-US" w:eastAsia="zh-CN"/>
        </w:rPr>
        <w:t>公章。</w:t>
      </w:r>
    </w:p>
    <w:p w14:paraId="58904080">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（五）入围规则</w:t>
      </w:r>
    </w:p>
    <w:p w14:paraId="2CA97F63">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采用准入制。综合型合作点（承接全部四项服务）得分≥</w:t>
      </w:r>
      <w:r>
        <w:rPr>
          <w:rFonts w:hint="eastAsia" w:ascii="Times New Roman" w:hAnsi="Times New Roman" w:eastAsia="仿宋_GB2312" w:cs="Times New Roman"/>
          <w:b w:val="0"/>
          <w:bCs w:val="0"/>
          <w:color w:val="auto"/>
          <w:sz w:val="32"/>
          <w:szCs w:val="32"/>
          <w:highlight w:val="none"/>
          <w:lang w:val="en-US" w:eastAsia="zh-CN"/>
        </w:rPr>
        <w:t>85</w:t>
      </w:r>
      <w:r>
        <w:rPr>
          <w:rFonts w:hint="default" w:ascii="Times New Roman" w:hAnsi="Times New Roman" w:eastAsia="仿宋_GB2312" w:cs="Times New Roman"/>
          <w:b w:val="0"/>
          <w:bCs w:val="0"/>
          <w:color w:val="auto"/>
          <w:sz w:val="32"/>
          <w:szCs w:val="32"/>
          <w:highlight w:val="none"/>
          <w:lang w:val="en-US" w:eastAsia="zh-CN"/>
        </w:rPr>
        <w:t>分</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专项型合作点（仅承接单项或部分服务）得分≥</w:t>
      </w:r>
      <w:r>
        <w:rPr>
          <w:rFonts w:hint="eastAsia" w:ascii="Times New Roman" w:hAnsi="Times New Roman" w:eastAsia="仿宋_GB2312" w:cs="Times New Roman"/>
          <w:b w:val="0"/>
          <w:bCs w:val="0"/>
          <w:color w:val="auto"/>
          <w:sz w:val="32"/>
          <w:szCs w:val="32"/>
          <w:highlight w:val="none"/>
          <w:lang w:val="en-US" w:eastAsia="zh-CN"/>
        </w:rPr>
        <w:t>80</w:t>
      </w:r>
      <w:r>
        <w:rPr>
          <w:rFonts w:hint="default" w:ascii="Times New Roman" w:hAnsi="Times New Roman" w:eastAsia="仿宋_GB2312" w:cs="Times New Roman"/>
          <w:b w:val="0"/>
          <w:bCs w:val="0"/>
          <w:color w:val="auto"/>
          <w:sz w:val="32"/>
          <w:szCs w:val="32"/>
          <w:highlight w:val="none"/>
          <w:lang w:val="en-US" w:eastAsia="zh-CN"/>
        </w:rPr>
        <w:t>分者，均可纳入合格合作点库，原则上不设数量上限；得分低于</w:t>
      </w:r>
      <w:r>
        <w:rPr>
          <w:rFonts w:hint="eastAsia" w:ascii="Times New Roman" w:hAnsi="Times New Roman" w:eastAsia="仿宋_GB2312" w:cs="Times New Roman"/>
          <w:b w:val="0"/>
          <w:bCs w:val="0"/>
          <w:color w:val="auto"/>
          <w:sz w:val="32"/>
          <w:szCs w:val="32"/>
          <w:highlight w:val="none"/>
          <w:lang w:val="en-US" w:eastAsia="zh-CN"/>
        </w:rPr>
        <w:t>80</w:t>
      </w:r>
      <w:r>
        <w:rPr>
          <w:rFonts w:hint="default" w:ascii="Times New Roman" w:hAnsi="Times New Roman" w:eastAsia="仿宋_GB2312" w:cs="Times New Roman"/>
          <w:b w:val="0"/>
          <w:bCs w:val="0"/>
          <w:color w:val="auto"/>
          <w:sz w:val="32"/>
          <w:szCs w:val="32"/>
          <w:highlight w:val="none"/>
          <w:lang w:val="en-US" w:eastAsia="zh-CN"/>
        </w:rPr>
        <w:t>分的不予纳入。</w:t>
      </w:r>
    </w:p>
    <w:p w14:paraId="7CCF8A2B">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p w14:paraId="14B88E86">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p w14:paraId="536C6B8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p w14:paraId="7FBC8F96">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p w14:paraId="01919C7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p w14:paraId="5A2C6EA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p w14:paraId="207800DF">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p>
    <w:sectPr>
      <w:pgSz w:w="11906" w:h="16838"/>
      <w:pgMar w:top="1701" w:right="1474" w:bottom="1701"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俗世浮华" w:date="2026-07-14T11:36:03Z" w:initials="">
    <w:p w14:paraId="5E78B947">
      <w:pPr>
        <w:pStyle w:val="5"/>
        <w:rPr>
          <w:rFonts w:hint="default" w:eastAsiaTheme="minorEastAsia"/>
          <w:lang w:val="en-US" w:eastAsia="zh-CN"/>
        </w:rPr>
      </w:pPr>
      <w:r>
        <w:rPr>
          <w:rFonts w:hint="eastAsia"/>
          <w:lang w:val="en-US" w:eastAsia="zh-CN"/>
        </w:rPr>
        <w:t>改为药品配送</w:t>
      </w:r>
    </w:p>
  </w:comment>
  <w:comment w:id="1" w:author="俗世浮华" w:date="2026-07-14T11:35:41Z" w:initials="">
    <w:p w14:paraId="6AD0AC9B">
      <w:pPr>
        <w:pStyle w:val="5"/>
        <w:rPr>
          <w:rFonts w:hint="eastAsia" w:eastAsiaTheme="minorEastAsia"/>
          <w:lang w:eastAsia="zh-CN"/>
        </w:rPr>
      </w:pPr>
      <w:r>
        <w:rPr>
          <w:rFonts w:hint="eastAsia"/>
          <w:lang w:eastAsia="zh-CN"/>
        </w:rPr>
        <w:t>（</w:t>
      </w:r>
      <w:r>
        <w:rPr>
          <w:rFonts w:hint="eastAsia"/>
          <w:lang w:val="en-US" w:eastAsia="zh-CN"/>
        </w:rPr>
        <w:t>慢病续方</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78B947" w15:done="0"/>
  <w15:commentEx w15:paraId="6AD0AC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俗世浮华">
    <w15:presenceInfo w15:providerId="WPS Office" w15:userId="3830205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59F2"/>
    <w:rsid w:val="0AEB303C"/>
    <w:rsid w:val="0D597E79"/>
    <w:rsid w:val="14D628B0"/>
    <w:rsid w:val="6046103D"/>
    <w:rsid w:val="72FD12F6"/>
    <w:rsid w:val="73A410E5"/>
    <w:rsid w:val="76104471"/>
    <w:rsid w:val="76E0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Calibri" w:hAnsi="Calibri" w:eastAsia="方正公文小标宋"/>
      <w:kern w:val="44"/>
      <w:sz w:val="44"/>
      <w:szCs w:val="22"/>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20" w:lineRule="exact"/>
      <w:outlineLvl w:val="2"/>
    </w:pPr>
    <w:rPr>
      <w:rFonts w:eastAsia="方正楷体_GB231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1202</Words>
  <Characters>1222</Characters>
  <Lines>0</Lines>
  <Paragraphs>0</Paragraphs>
  <TotalTime>20</TotalTime>
  <ScaleCrop>false</ScaleCrop>
  <LinksUpToDate>false</LinksUpToDate>
  <CharactersWithSpaces>1222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2026-04-21T08:49:00Z</dcterms:created>
  <dc:creator>Lenovo</dc:creator>
  <cp:lastModifiedBy>志新</cp:lastModifiedBy>
  <dcterms:modified xsi:type="dcterms:W3CDTF">2026-07-14T03:43:40Z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4F49FC20A9A6466EB0222AD3144AF46D_13</vt:lpwstr>
  </property>
  <property fmtid="{D5CDD505-2E9C-101B-9397-08002B2CF9AE}" pid="4" name="KSOTemplateDocerSaveRecord">
    <vt:lpwstr>eyJoZGlkIjoiMDQ3YWU4NTkzNGM0OTBiMWM3MGU1YmJjM2Q5YzYxY2QiLCJ1c2VySWQiOiIxMTUxOTM4MjkyIn0=</vt:lpwstr>
  </property>
</Properties>
</file>